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0430F" w14:textId="77777777" w:rsidR="00A47B19" w:rsidRPr="000123DE" w:rsidRDefault="00A47B19" w:rsidP="00A47B19">
      <w:pPr>
        <w:pBdr>
          <w:top w:val="single" w:sz="4" w:space="1" w:color="auto"/>
          <w:bottom w:val="single" w:sz="4" w:space="1" w:color="auto"/>
        </w:pBdr>
        <w:spacing w:after="120" w:line="240" w:lineRule="auto"/>
        <w:jc w:val="right"/>
        <w:rPr>
          <w:rFonts w:ascii="Tahoma" w:hAnsi="Tahoma" w:cs="Tahoma"/>
          <w:b/>
          <w:caps/>
          <w:color w:val="0070C0"/>
          <w:sz w:val="24"/>
          <w:szCs w:val="24"/>
          <w:lang w:val="en-GB"/>
        </w:rPr>
      </w:pPr>
      <w:r w:rsidRPr="000123DE">
        <w:rPr>
          <w:rFonts w:ascii="Tahoma" w:hAnsi="Tahoma" w:cs="Tahoma"/>
          <w:b/>
          <w:caps/>
          <w:color w:val="0070C0"/>
          <w:sz w:val="24"/>
          <w:szCs w:val="24"/>
          <w:lang w:val="en-GB"/>
        </w:rPr>
        <w:t>Report on general government budget</w:t>
      </w:r>
    </w:p>
    <w:p w14:paraId="62F12FC8" w14:textId="4EFBD195" w:rsidR="004B7A33" w:rsidRPr="000123DE" w:rsidRDefault="00A47B19" w:rsidP="003F4E84">
      <w:pPr>
        <w:spacing w:after="120" w:line="240" w:lineRule="auto"/>
        <w:jc w:val="right"/>
        <w:rPr>
          <w:rFonts w:ascii="Tahoma" w:hAnsi="Tahoma" w:cs="Tahoma"/>
          <w:b/>
          <w:color w:val="0070C0"/>
          <w:sz w:val="24"/>
          <w:szCs w:val="24"/>
          <w:lang w:val="en-GB"/>
        </w:rPr>
      </w:pPr>
      <w:r w:rsidRPr="000123DE">
        <w:rPr>
          <w:rFonts w:ascii="Tahoma" w:hAnsi="Tahoma" w:cs="Tahoma"/>
          <w:b/>
          <w:color w:val="0070C0"/>
          <w:sz w:val="24"/>
          <w:szCs w:val="24"/>
          <w:lang w:val="en-GB"/>
        </w:rPr>
        <w:t>MAY</w:t>
      </w:r>
      <w:r w:rsidR="00647575" w:rsidRPr="000123DE">
        <w:rPr>
          <w:rFonts w:ascii="Tahoma" w:hAnsi="Tahoma" w:cs="Tahoma"/>
          <w:b/>
          <w:color w:val="0070C0"/>
          <w:sz w:val="24"/>
          <w:szCs w:val="24"/>
          <w:lang w:val="en-GB"/>
        </w:rPr>
        <w:t xml:space="preserve"> </w:t>
      </w:r>
      <w:r w:rsidR="009300C7" w:rsidRPr="000123DE">
        <w:rPr>
          <w:rFonts w:ascii="Tahoma" w:hAnsi="Tahoma" w:cs="Tahoma"/>
          <w:b/>
          <w:color w:val="0070C0"/>
          <w:sz w:val="24"/>
          <w:szCs w:val="24"/>
          <w:lang w:val="en-GB"/>
        </w:rPr>
        <w:t>2020</w:t>
      </w:r>
      <w:r w:rsidR="00526E8B" w:rsidRPr="000123DE">
        <w:rPr>
          <w:rFonts w:ascii="Tahoma" w:hAnsi="Tahoma" w:cs="Tahoma"/>
          <w:b/>
          <w:color w:val="0070C0"/>
          <w:sz w:val="24"/>
          <w:szCs w:val="24"/>
          <w:lang w:val="en-GB"/>
        </w:rPr>
        <w:br/>
      </w:r>
    </w:p>
    <w:p w14:paraId="59C2EC16" w14:textId="77777777" w:rsidR="003F4E84" w:rsidRPr="000123DE" w:rsidRDefault="003F4E84" w:rsidP="003F4E84">
      <w:pPr>
        <w:spacing w:after="120" w:line="240" w:lineRule="auto"/>
        <w:jc w:val="right"/>
        <w:rPr>
          <w:rFonts w:ascii="Tahoma" w:hAnsi="Tahoma" w:cs="Tahoma"/>
          <w:b/>
          <w:color w:val="0070C0"/>
          <w:sz w:val="24"/>
          <w:szCs w:val="24"/>
          <w:lang w:val="en-GB"/>
        </w:rPr>
      </w:pPr>
    </w:p>
    <w:p w14:paraId="0BCDEC38" w14:textId="2398466A" w:rsidR="00A47B19" w:rsidRPr="000123DE" w:rsidRDefault="00A47B19" w:rsidP="00F62A47">
      <w:pPr>
        <w:shd w:val="clear" w:color="auto" w:fill="DEEAF6"/>
        <w:spacing w:after="120" w:line="360" w:lineRule="auto"/>
        <w:jc w:val="both"/>
        <w:rPr>
          <w:rFonts w:ascii="Tahoma" w:hAnsi="Tahoma" w:cs="Tahoma"/>
          <w:sz w:val="24"/>
          <w:szCs w:val="24"/>
          <w:lang w:val="en-GB"/>
        </w:rPr>
      </w:pPr>
      <w:r w:rsidRPr="000123DE">
        <w:rPr>
          <w:rFonts w:ascii="Tahoma" w:hAnsi="Tahoma" w:cs="Tahoma"/>
          <w:sz w:val="24"/>
          <w:szCs w:val="24"/>
          <w:lang w:val="en-GB"/>
        </w:rPr>
        <w:t xml:space="preserve">General government budget recorded a </w:t>
      </w:r>
      <w:r w:rsidRPr="000123DE">
        <w:rPr>
          <w:rFonts w:ascii="Tahoma" w:hAnsi="Tahoma" w:cs="Tahoma"/>
          <w:b/>
          <w:sz w:val="24"/>
          <w:szCs w:val="24"/>
          <w:lang w:val="en-GB"/>
        </w:rPr>
        <w:t xml:space="preserve">deficit of RON 38.84 </w:t>
      </w:r>
      <w:r w:rsidR="008F53C9" w:rsidRPr="000123DE">
        <w:rPr>
          <w:rFonts w:ascii="Tahoma" w:hAnsi="Tahoma" w:cs="Tahoma"/>
          <w:b/>
          <w:sz w:val="24"/>
          <w:szCs w:val="24"/>
          <w:lang w:val="en-GB"/>
        </w:rPr>
        <w:t>billion</w:t>
      </w:r>
      <w:r w:rsidRPr="000123DE">
        <w:rPr>
          <w:rFonts w:ascii="Tahoma" w:hAnsi="Tahoma" w:cs="Tahoma"/>
          <w:b/>
          <w:sz w:val="24"/>
          <w:szCs w:val="24"/>
          <w:lang w:val="en-GB"/>
        </w:rPr>
        <w:t xml:space="preserve"> (3.59% of GDP)</w:t>
      </w:r>
      <w:r w:rsidRPr="000123DE">
        <w:rPr>
          <w:rFonts w:ascii="Tahoma" w:hAnsi="Tahoma" w:cs="Tahoma"/>
          <w:sz w:val="24"/>
          <w:szCs w:val="24"/>
          <w:lang w:val="en-GB"/>
        </w:rPr>
        <w:t xml:space="preserve"> in the first five months of 2020, almost half of this amount corresponding to </w:t>
      </w:r>
      <w:r w:rsidR="000123DE" w:rsidRPr="000123DE">
        <w:rPr>
          <w:rFonts w:ascii="Tahoma" w:hAnsi="Tahoma" w:cs="Tahoma"/>
          <w:sz w:val="24"/>
          <w:szCs w:val="24"/>
          <w:lang w:val="en-GB"/>
        </w:rPr>
        <w:t xml:space="preserve">uncollected </w:t>
      </w:r>
      <w:r w:rsidR="00876B16">
        <w:rPr>
          <w:rFonts w:ascii="Tahoma" w:hAnsi="Tahoma" w:cs="Tahoma"/>
          <w:sz w:val="24"/>
          <w:szCs w:val="24"/>
          <w:lang w:val="en-GB"/>
        </w:rPr>
        <w:t>taxes</w:t>
      </w:r>
      <w:r w:rsidR="000123DE" w:rsidRPr="0028576F">
        <w:rPr>
          <w:rFonts w:ascii="Tahoma" w:hAnsi="Tahoma" w:cs="Tahoma"/>
          <w:sz w:val="24"/>
          <w:szCs w:val="24"/>
          <w:lang w:val="en-GB"/>
        </w:rPr>
        <w:t xml:space="preserve"> (amounts left to private companies to support their liquidity)</w:t>
      </w:r>
      <w:r w:rsidR="0028576F">
        <w:rPr>
          <w:rFonts w:ascii="Tahoma" w:hAnsi="Tahoma" w:cs="Tahoma"/>
          <w:sz w:val="24"/>
          <w:szCs w:val="24"/>
          <w:lang w:val="en-GB"/>
        </w:rPr>
        <w:t xml:space="preserve"> </w:t>
      </w:r>
      <w:r w:rsidRPr="000123DE">
        <w:rPr>
          <w:rFonts w:ascii="Tahoma" w:hAnsi="Tahoma" w:cs="Tahoma"/>
          <w:sz w:val="24"/>
          <w:szCs w:val="24"/>
          <w:lang w:val="en-GB"/>
        </w:rPr>
        <w:t>and exceptional expenses to combat the p</w:t>
      </w:r>
      <w:r w:rsidR="000123DE" w:rsidRPr="000123DE">
        <w:rPr>
          <w:rFonts w:ascii="Tahoma" w:hAnsi="Tahoma" w:cs="Tahoma"/>
          <w:sz w:val="24"/>
          <w:szCs w:val="24"/>
          <w:lang w:val="en-GB"/>
        </w:rPr>
        <w:t>a</w:t>
      </w:r>
      <w:r w:rsidRPr="000123DE">
        <w:rPr>
          <w:rFonts w:ascii="Tahoma" w:hAnsi="Tahoma" w:cs="Tahoma"/>
          <w:sz w:val="24"/>
          <w:szCs w:val="24"/>
          <w:lang w:val="en-GB"/>
        </w:rPr>
        <w:t>ndemic</w:t>
      </w:r>
      <w:r w:rsidR="00411D1E" w:rsidRPr="000123DE">
        <w:rPr>
          <w:rFonts w:ascii="Tahoma" w:hAnsi="Tahoma" w:cs="Tahoma"/>
          <w:sz w:val="24"/>
          <w:szCs w:val="24"/>
          <w:lang w:val="en-GB"/>
        </w:rPr>
        <w:t xml:space="preserve"> (Annexes 1 and 2). </w:t>
      </w:r>
      <w:r w:rsidRPr="000123DE">
        <w:rPr>
          <w:rFonts w:ascii="Tahoma" w:hAnsi="Tahoma" w:cs="Tahoma"/>
          <w:sz w:val="24"/>
          <w:szCs w:val="24"/>
          <w:lang w:val="en-GB"/>
        </w:rPr>
        <w:t xml:space="preserve"> </w:t>
      </w:r>
    </w:p>
    <w:p w14:paraId="7D3B6D5F" w14:textId="096CAC52" w:rsidR="00F62A47" w:rsidRPr="000123DE" w:rsidRDefault="00A47B19" w:rsidP="008F53C9">
      <w:pPr>
        <w:shd w:val="clear" w:color="auto" w:fill="DEEAF6"/>
        <w:spacing w:after="120" w:line="360" w:lineRule="auto"/>
        <w:jc w:val="both"/>
        <w:rPr>
          <w:rFonts w:ascii="Tahoma" w:hAnsi="Tahoma" w:cs="Tahoma"/>
          <w:sz w:val="24"/>
          <w:szCs w:val="24"/>
          <w:lang w:val="en-GB"/>
        </w:rPr>
      </w:pPr>
      <w:r w:rsidRPr="000123DE">
        <w:rPr>
          <w:rFonts w:ascii="Tahoma" w:hAnsi="Tahoma" w:cs="Tahoma"/>
          <w:sz w:val="24"/>
          <w:szCs w:val="24"/>
          <w:lang w:val="en-GB"/>
        </w:rPr>
        <w:t xml:space="preserve">Compared to the similar period of last year, </w:t>
      </w:r>
      <w:r w:rsidR="00411D1E" w:rsidRPr="000123DE">
        <w:rPr>
          <w:rFonts w:ascii="Tahoma" w:hAnsi="Tahoma" w:cs="Tahoma"/>
          <w:sz w:val="24"/>
          <w:szCs w:val="24"/>
          <w:lang w:val="en-GB"/>
        </w:rPr>
        <w:t xml:space="preserve">the larger deficit is </w:t>
      </w:r>
      <w:r w:rsidR="0028576F">
        <w:rPr>
          <w:rFonts w:ascii="Tahoma" w:hAnsi="Tahoma" w:cs="Tahoma"/>
          <w:sz w:val="24"/>
          <w:szCs w:val="24"/>
          <w:lang w:val="en-GB"/>
        </w:rPr>
        <w:t>mainly</w:t>
      </w:r>
      <w:r w:rsidR="00FC6A0C" w:rsidRPr="000123DE">
        <w:rPr>
          <w:rFonts w:ascii="Tahoma" w:hAnsi="Tahoma" w:cs="Tahoma"/>
          <w:sz w:val="24"/>
          <w:szCs w:val="24"/>
          <w:lang w:val="en-GB"/>
        </w:rPr>
        <w:t xml:space="preserve"> </w:t>
      </w:r>
      <w:r w:rsidR="000123DE" w:rsidRPr="000123DE">
        <w:rPr>
          <w:rFonts w:ascii="Tahoma" w:hAnsi="Tahoma" w:cs="Tahoma"/>
          <w:sz w:val="24"/>
          <w:szCs w:val="24"/>
          <w:lang w:val="en-GB"/>
        </w:rPr>
        <w:t>explained</w:t>
      </w:r>
      <w:r w:rsidR="00411D1E" w:rsidRPr="000123DE">
        <w:rPr>
          <w:rFonts w:ascii="Tahoma" w:hAnsi="Tahoma" w:cs="Tahoma"/>
          <w:sz w:val="24"/>
          <w:szCs w:val="24"/>
          <w:lang w:val="en-GB"/>
        </w:rPr>
        <w:t xml:space="preserve"> </w:t>
      </w:r>
      <w:r w:rsidR="00FC6A0C" w:rsidRPr="000123DE">
        <w:rPr>
          <w:rFonts w:ascii="Tahoma" w:hAnsi="Tahoma" w:cs="Tahoma"/>
          <w:sz w:val="24"/>
          <w:szCs w:val="24"/>
          <w:lang w:val="en-GB"/>
        </w:rPr>
        <w:t>by</w:t>
      </w:r>
      <w:r w:rsidR="00411D1E" w:rsidRPr="000123DE">
        <w:rPr>
          <w:rFonts w:ascii="Tahoma" w:hAnsi="Tahoma" w:cs="Tahoma"/>
          <w:sz w:val="24"/>
          <w:szCs w:val="24"/>
          <w:lang w:val="en-GB"/>
        </w:rPr>
        <w:t xml:space="preserve"> the unfavourable </w:t>
      </w:r>
      <w:r w:rsidR="0028576F" w:rsidRPr="000123DE">
        <w:rPr>
          <w:rFonts w:ascii="Tahoma" w:hAnsi="Tahoma" w:cs="Tahoma"/>
          <w:sz w:val="24"/>
          <w:szCs w:val="24"/>
          <w:lang w:val="en-GB"/>
        </w:rPr>
        <w:t>total revenues</w:t>
      </w:r>
      <w:r w:rsidR="0028576F">
        <w:rPr>
          <w:rFonts w:ascii="Tahoma" w:hAnsi="Tahoma" w:cs="Tahoma"/>
          <w:sz w:val="24"/>
          <w:szCs w:val="24"/>
          <w:lang w:val="en-GB"/>
        </w:rPr>
        <w:t>’</w:t>
      </w:r>
      <w:r w:rsidR="0028576F" w:rsidRPr="000123DE">
        <w:rPr>
          <w:rFonts w:ascii="Tahoma" w:hAnsi="Tahoma" w:cs="Tahoma"/>
          <w:sz w:val="24"/>
          <w:szCs w:val="24"/>
          <w:lang w:val="en-GB"/>
        </w:rPr>
        <w:t xml:space="preserve"> </w:t>
      </w:r>
      <w:r w:rsidR="00411D1E" w:rsidRPr="000123DE">
        <w:rPr>
          <w:rFonts w:ascii="Tahoma" w:hAnsi="Tahoma" w:cs="Tahoma"/>
          <w:sz w:val="24"/>
          <w:szCs w:val="24"/>
          <w:lang w:val="en-GB"/>
        </w:rPr>
        <w:t>dynamic</w:t>
      </w:r>
      <w:r w:rsidR="00D40DFC">
        <w:rPr>
          <w:rFonts w:ascii="Tahoma" w:hAnsi="Tahoma" w:cs="Tahoma"/>
          <w:sz w:val="24"/>
          <w:szCs w:val="24"/>
          <w:lang w:val="en-GB"/>
        </w:rPr>
        <w:t>s</w:t>
      </w:r>
      <w:r w:rsidR="00411D1E" w:rsidRPr="000123DE">
        <w:rPr>
          <w:rFonts w:ascii="Tahoma" w:hAnsi="Tahoma" w:cs="Tahoma"/>
          <w:sz w:val="24"/>
          <w:szCs w:val="24"/>
          <w:lang w:val="en-GB"/>
        </w:rPr>
        <w:t xml:space="preserve"> in March – May as a </w:t>
      </w:r>
      <w:r w:rsidR="000123DE" w:rsidRPr="000123DE">
        <w:rPr>
          <w:rFonts w:ascii="Tahoma" w:hAnsi="Tahoma" w:cs="Tahoma"/>
          <w:sz w:val="24"/>
          <w:szCs w:val="24"/>
          <w:lang w:val="en-GB"/>
        </w:rPr>
        <w:t>consequence</w:t>
      </w:r>
      <w:r w:rsidR="00411D1E" w:rsidRPr="000123DE">
        <w:rPr>
          <w:rFonts w:ascii="Tahoma" w:hAnsi="Tahoma" w:cs="Tahoma"/>
          <w:sz w:val="24"/>
          <w:szCs w:val="24"/>
          <w:lang w:val="en-GB"/>
        </w:rPr>
        <w:t xml:space="preserve"> of payment deferral </w:t>
      </w:r>
      <w:r w:rsidR="00411D1E" w:rsidRPr="00876B16">
        <w:rPr>
          <w:rFonts w:ascii="Tahoma" w:hAnsi="Tahoma" w:cs="Tahoma"/>
          <w:color w:val="000000" w:themeColor="text1"/>
          <w:sz w:val="24"/>
          <w:szCs w:val="24"/>
          <w:lang w:val="en-GB"/>
        </w:rPr>
        <w:t xml:space="preserve">during the state of emergency (RON 11.7 </w:t>
      </w:r>
      <w:r w:rsidR="008F53C9" w:rsidRPr="00876B16">
        <w:rPr>
          <w:rFonts w:ascii="Tahoma" w:hAnsi="Tahoma" w:cs="Tahoma"/>
          <w:color w:val="000000" w:themeColor="text1"/>
          <w:sz w:val="24"/>
          <w:szCs w:val="24"/>
          <w:lang w:val="en-GB"/>
        </w:rPr>
        <w:t>billion</w:t>
      </w:r>
      <w:r w:rsidR="00411D1E" w:rsidRPr="00876B16">
        <w:rPr>
          <w:rFonts w:ascii="Tahoma" w:hAnsi="Tahoma" w:cs="Tahoma"/>
          <w:color w:val="000000" w:themeColor="text1"/>
          <w:sz w:val="24"/>
          <w:szCs w:val="24"/>
          <w:lang w:val="en-GB"/>
        </w:rPr>
        <w:t>)</w:t>
      </w:r>
      <w:r w:rsidR="00EB2CA5" w:rsidRPr="00876B16">
        <w:rPr>
          <w:rStyle w:val="FootnoteReference"/>
          <w:rFonts w:ascii="Tahoma" w:hAnsi="Tahoma" w:cs="Tahoma"/>
          <w:color w:val="000000" w:themeColor="text1"/>
          <w:sz w:val="24"/>
          <w:szCs w:val="24"/>
          <w:lang w:val="en-GB"/>
        </w:rPr>
        <w:footnoteReference w:id="1"/>
      </w:r>
      <w:r w:rsidR="00411D1E" w:rsidRPr="00876B16">
        <w:rPr>
          <w:rFonts w:ascii="Tahoma" w:hAnsi="Tahoma" w:cs="Tahoma"/>
          <w:color w:val="000000" w:themeColor="text1"/>
          <w:sz w:val="24"/>
          <w:szCs w:val="24"/>
          <w:lang w:val="en-GB"/>
        </w:rPr>
        <w:t xml:space="preserve">, higher VAT reimbursement (RON +2.26 </w:t>
      </w:r>
      <w:r w:rsidR="008F53C9" w:rsidRPr="00876B16">
        <w:rPr>
          <w:rFonts w:ascii="Tahoma" w:hAnsi="Tahoma" w:cs="Tahoma"/>
          <w:color w:val="000000" w:themeColor="text1"/>
          <w:sz w:val="24"/>
          <w:szCs w:val="24"/>
          <w:lang w:val="en-GB"/>
        </w:rPr>
        <w:t>billion</w:t>
      </w:r>
      <w:r w:rsidR="00411D1E" w:rsidRPr="00876B16">
        <w:rPr>
          <w:rFonts w:ascii="Tahoma" w:hAnsi="Tahoma" w:cs="Tahoma"/>
          <w:color w:val="000000" w:themeColor="text1"/>
          <w:sz w:val="24"/>
          <w:szCs w:val="24"/>
          <w:lang w:val="en-GB"/>
        </w:rPr>
        <w:t>) to support private companies’ liquidity, and discounts offered to CIT taxpayers and</w:t>
      </w:r>
      <w:r w:rsidR="00876B16" w:rsidRPr="00876B16">
        <w:rPr>
          <w:rFonts w:ascii="Tahoma" w:hAnsi="Tahoma" w:cs="Tahoma"/>
          <w:color w:val="000000" w:themeColor="text1"/>
          <w:sz w:val="24"/>
          <w:szCs w:val="24"/>
          <w:lang w:val="en-GB"/>
        </w:rPr>
        <w:t xml:space="preserve"> for</w:t>
      </w:r>
      <w:r w:rsidR="00411D1E" w:rsidRPr="00876B16">
        <w:rPr>
          <w:rFonts w:ascii="Tahoma" w:hAnsi="Tahoma" w:cs="Tahoma"/>
          <w:color w:val="000000" w:themeColor="text1"/>
          <w:sz w:val="24"/>
          <w:szCs w:val="24"/>
          <w:lang w:val="en-GB"/>
        </w:rPr>
        <w:t xml:space="preserve"> </w:t>
      </w:r>
      <w:r w:rsidR="0028576F" w:rsidRPr="00876B16">
        <w:rPr>
          <w:rFonts w:ascii="Tahoma" w:hAnsi="Tahoma" w:cs="Tahoma"/>
          <w:color w:val="000000" w:themeColor="text1"/>
          <w:sz w:val="24"/>
          <w:szCs w:val="24"/>
          <w:lang w:val="en-GB"/>
        </w:rPr>
        <w:t>taxes on micro</w:t>
      </w:r>
      <w:r w:rsidR="00DE69EC" w:rsidRPr="00876B16">
        <w:rPr>
          <w:rFonts w:ascii="Tahoma" w:hAnsi="Tahoma" w:cs="Tahoma"/>
          <w:color w:val="000000" w:themeColor="text1"/>
          <w:sz w:val="24"/>
          <w:szCs w:val="24"/>
          <w:lang w:val="en-GB"/>
        </w:rPr>
        <w:t>-</w:t>
      </w:r>
      <w:r w:rsidR="0028576F" w:rsidRPr="00876B16">
        <w:rPr>
          <w:rFonts w:ascii="Tahoma" w:hAnsi="Tahoma" w:cs="Tahoma"/>
          <w:color w:val="000000" w:themeColor="text1"/>
          <w:sz w:val="24"/>
          <w:szCs w:val="24"/>
          <w:lang w:val="en-GB"/>
        </w:rPr>
        <w:t>enterprises’ revenues</w:t>
      </w:r>
      <w:r w:rsidR="00411D1E" w:rsidRPr="00876B16">
        <w:rPr>
          <w:rFonts w:ascii="Tahoma" w:hAnsi="Tahoma" w:cs="Tahoma"/>
          <w:color w:val="000000" w:themeColor="text1"/>
          <w:sz w:val="24"/>
          <w:szCs w:val="24"/>
          <w:lang w:val="en-GB"/>
        </w:rPr>
        <w:t xml:space="preserve"> (RON </w:t>
      </w:r>
      <w:r w:rsidR="00411D1E" w:rsidRPr="000123DE">
        <w:rPr>
          <w:rFonts w:ascii="Tahoma" w:hAnsi="Tahoma" w:cs="Tahoma"/>
          <w:sz w:val="24"/>
          <w:szCs w:val="24"/>
          <w:lang w:val="en-GB"/>
        </w:rPr>
        <w:t xml:space="preserve">0.25 </w:t>
      </w:r>
      <w:r w:rsidR="008F53C9" w:rsidRPr="000123DE">
        <w:rPr>
          <w:rFonts w:ascii="Tahoma" w:hAnsi="Tahoma" w:cs="Tahoma"/>
          <w:sz w:val="24"/>
          <w:szCs w:val="24"/>
          <w:lang w:val="en-GB"/>
        </w:rPr>
        <w:t>billion</w:t>
      </w:r>
      <w:r w:rsidR="00411D1E" w:rsidRPr="000123DE">
        <w:rPr>
          <w:rFonts w:ascii="Tahoma" w:hAnsi="Tahoma" w:cs="Tahoma"/>
          <w:sz w:val="24"/>
          <w:szCs w:val="24"/>
          <w:lang w:val="en-GB"/>
        </w:rPr>
        <w:t xml:space="preserve">). Furthermore, on the expenditure side, beside the increase in expenditure as a result of applying current legislation, investment increased by RON 3.43 </w:t>
      </w:r>
      <w:r w:rsidR="008F53C9" w:rsidRPr="000123DE">
        <w:rPr>
          <w:rFonts w:ascii="Tahoma" w:hAnsi="Tahoma" w:cs="Tahoma"/>
          <w:sz w:val="24"/>
          <w:szCs w:val="24"/>
          <w:lang w:val="en-GB"/>
        </w:rPr>
        <w:t>billion</w:t>
      </w:r>
      <w:r w:rsidR="0028576F">
        <w:rPr>
          <w:rFonts w:ascii="Tahoma" w:hAnsi="Tahoma" w:cs="Tahoma"/>
          <w:sz w:val="24"/>
          <w:szCs w:val="24"/>
          <w:lang w:val="en-GB"/>
        </w:rPr>
        <w:t>, while</w:t>
      </w:r>
      <w:r w:rsidR="00411D1E" w:rsidRPr="000123DE">
        <w:rPr>
          <w:rFonts w:ascii="Tahoma" w:hAnsi="Tahoma" w:cs="Tahoma"/>
          <w:sz w:val="24"/>
          <w:szCs w:val="24"/>
          <w:lang w:val="en-GB"/>
        </w:rPr>
        <w:t xml:space="preserve"> exceptional payments related to Covid-19 pandemic totalled RON ~3.83 billion.    </w:t>
      </w:r>
    </w:p>
    <w:p w14:paraId="6BDFD94F" w14:textId="77777777" w:rsidR="00F62A47" w:rsidRPr="000123DE" w:rsidRDefault="00F62A47" w:rsidP="00F62A47">
      <w:pPr>
        <w:pStyle w:val="ListParagraph"/>
        <w:spacing w:line="360" w:lineRule="auto"/>
        <w:jc w:val="both"/>
        <w:rPr>
          <w:rFonts w:ascii="Tahoma" w:hAnsi="Tahoma" w:cs="Tahoma"/>
          <w:b/>
          <w:color w:val="FF0000"/>
          <w:sz w:val="24"/>
          <w:szCs w:val="24"/>
          <w:lang w:val="en-GB"/>
        </w:rPr>
      </w:pPr>
    </w:p>
    <w:p w14:paraId="351D3CE1" w14:textId="77777777" w:rsidR="00D20A31" w:rsidRPr="000123DE" w:rsidRDefault="00D20A31" w:rsidP="00D20A31">
      <w:pPr>
        <w:pStyle w:val="ListParagraph"/>
        <w:numPr>
          <w:ilvl w:val="0"/>
          <w:numId w:val="2"/>
        </w:numPr>
        <w:shd w:val="clear" w:color="auto" w:fill="D9D9D9"/>
        <w:spacing w:after="120" w:line="276" w:lineRule="auto"/>
        <w:ind w:hanging="1080"/>
        <w:jc w:val="both"/>
        <w:rPr>
          <w:rFonts w:ascii="Tahoma" w:hAnsi="Tahoma" w:cs="Tahoma"/>
          <w:b/>
          <w:caps/>
          <w:color w:val="0070C0"/>
          <w:sz w:val="24"/>
          <w:szCs w:val="24"/>
          <w:lang w:val="en-GB"/>
        </w:rPr>
      </w:pPr>
      <w:r w:rsidRPr="000123DE">
        <w:rPr>
          <w:rFonts w:ascii="Tahoma" w:hAnsi="Tahoma" w:cs="Tahoma"/>
          <w:b/>
          <w:caps/>
          <w:color w:val="0070C0"/>
          <w:sz w:val="24"/>
          <w:szCs w:val="24"/>
          <w:lang w:val="en-GB"/>
        </w:rPr>
        <w:t>general government revenue</w:t>
      </w:r>
    </w:p>
    <w:p w14:paraId="7D1B2F40" w14:textId="77777777" w:rsidR="00F62A47" w:rsidRPr="000123DE" w:rsidRDefault="00F62A47" w:rsidP="00F62A47">
      <w:pPr>
        <w:spacing w:after="120" w:line="240" w:lineRule="auto"/>
        <w:rPr>
          <w:rFonts w:ascii="Tahoma" w:hAnsi="Tahoma" w:cs="Tahoma"/>
          <w:b/>
          <w:color w:val="FF0000"/>
          <w:sz w:val="24"/>
          <w:szCs w:val="24"/>
          <w:lang w:val="en-GB"/>
        </w:rPr>
      </w:pPr>
    </w:p>
    <w:p w14:paraId="09C56D12" w14:textId="3450EC72" w:rsidR="008928E1" w:rsidRDefault="008F53C9" w:rsidP="00F62A47">
      <w:pPr>
        <w:shd w:val="clear" w:color="auto" w:fill="D9D9D9"/>
        <w:spacing w:after="120" w:line="360" w:lineRule="auto"/>
        <w:jc w:val="both"/>
        <w:rPr>
          <w:rFonts w:ascii="Tahoma" w:hAnsi="Tahoma" w:cs="Tahoma"/>
          <w:sz w:val="24"/>
          <w:szCs w:val="24"/>
          <w:lang w:val="en-GB"/>
        </w:rPr>
      </w:pPr>
      <w:r w:rsidRPr="000123DE">
        <w:rPr>
          <w:rFonts w:ascii="Tahoma" w:hAnsi="Tahoma" w:cs="Tahoma"/>
          <w:sz w:val="24"/>
          <w:szCs w:val="24"/>
          <w:lang w:val="en-GB"/>
        </w:rPr>
        <w:t>Total revenue amounted to RON 119.59 billion in the first five months of the year, down by 3.4% compared to the corresponding period of last year</w:t>
      </w:r>
      <w:r w:rsidR="006C0D2A" w:rsidRPr="000123DE">
        <w:rPr>
          <w:rFonts w:ascii="Tahoma" w:hAnsi="Tahoma" w:cs="Tahoma"/>
          <w:sz w:val="24"/>
          <w:szCs w:val="24"/>
          <w:lang w:val="en-GB"/>
        </w:rPr>
        <w:t xml:space="preserve">, mainly due to fiscal facilities adopted to support the economic activity in the context of the Coronavirus pandemic (in particular payment deferral and discounts offered to CIT taxpayers). </w:t>
      </w:r>
      <w:r w:rsidR="0028576F">
        <w:rPr>
          <w:rFonts w:ascii="Tahoma" w:hAnsi="Tahoma" w:cs="Tahoma"/>
          <w:sz w:val="24"/>
          <w:szCs w:val="24"/>
          <w:lang w:val="en-GB"/>
        </w:rPr>
        <w:t>Also</w:t>
      </w:r>
      <w:r w:rsidR="006C0D2A" w:rsidRPr="000123DE">
        <w:rPr>
          <w:rFonts w:ascii="Tahoma" w:hAnsi="Tahoma" w:cs="Tahoma"/>
          <w:sz w:val="24"/>
          <w:szCs w:val="24"/>
          <w:lang w:val="en-GB"/>
        </w:rPr>
        <w:t>, the contraction of revenues in May (-</w:t>
      </w:r>
      <w:r w:rsidR="006C0D2A" w:rsidRPr="00806C56">
        <w:rPr>
          <w:rFonts w:ascii="Tahoma" w:hAnsi="Tahoma" w:cs="Tahoma"/>
          <w:sz w:val="24"/>
          <w:szCs w:val="24"/>
          <w:lang w:val="en-GB"/>
        </w:rPr>
        <w:t xml:space="preserve">12% yoy) is explained by the unfavourable evolution of </w:t>
      </w:r>
      <w:r w:rsidR="00F659FB" w:rsidRPr="00806C56">
        <w:rPr>
          <w:rFonts w:ascii="Tahoma" w:hAnsi="Tahoma" w:cs="Tahoma"/>
          <w:sz w:val="24"/>
          <w:szCs w:val="24"/>
          <w:lang w:val="en-GB"/>
        </w:rPr>
        <w:t xml:space="preserve">the </w:t>
      </w:r>
      <w:r w:rsidR="006C0D2A" w:rsidRPr="00806C56">
        <w:rPr>
          <w:rFonts w:ascii="Tahoma" w:hAnsi="Tahoma" w:cs="Tahoma"/>
          <w:sz w:val="24"/>
          <w:szCs w:val="24"/>
          <w:lang w:val="en-GB"/>
        </w:rPr>
        <w:t>economic activity in April</w:t>
      </w:r>
      <w:r w:rsidR="003F3EA8" w:rsidRPr="00806C56">
        <w:rPr>
          <w:rFonts w:ascii="Tahoma" w:hAnsi="Tahoma" w:cs="Tahoma"/>
          <w:sz w:val="24"/>
          <w:szCs w:val="24"/>
          <w:lang w:val="en-GB"/>
        </w:rPr>
        <w:t xml:space="preserve"> since </w:t>
      </w:r>
      <w:r w:rsidR="006C0D2A" w:rsidRPr="00806C56">
        <w:rPr>
          <w:rFonts w:ascii="Tahoma" w:hAnsi="Tahoma" w:cs="Tahoma"/>
          <w:sz w:val="24"/>
          <w:szCs w:val="24"/>
          <w:lang w:val="en-GB"/>
        </w:rPr>
        <w:t xml:space="preserve">the </w:t>
      </w:r>
      <w:r w:rsidR="008928E1" w:rsidRPr="00806C56">
        <w:rPr>
          <w:rFonts w:ascii="Tahoma" w:hAnsi="Tahoma" w:cs="Tahoma"/>
          <w:sz w:val="24"/>
          <w:szCs w:val="24"/>
          <w:lang w:val="en-GB"/>
        </w:rPr>
        <w:t>state of emergency restrictions</w:t>
      </w:r>
      <w:r w:rsidR="008928E1">
        <w:rPr>
          <w:rFonts w:ascii="Tahoma" w:hAnsi="Tahoma" w:cs="Tahoma"/>
          <w:sz w:val="24"/>
          <w:szCs w:val="24"/>
          <w:lang w:val="en-GB"/>
        </w:rPr>
        <w:t xml:space="preserve"> were applied all month long. </w:t>
      </w:r>
    </w:p>
    <w:p w14:paraId="2B29860F" w14:textId="77777777" w:rsidR="00F62A47" w:rsidRPr="000123DE" w:rsidRDefault="00F62A47" w:rsidP="00F62A47">
      <w:pPr>
        <w:spacing w:after="120" w:line="360" w:lineRule="auto"/>
        <w:jc w:val="both"/>
        <w:rPr>
          <w:rFonts w:ascii="Tahoma" w:hAnsi="Tahoma" w:cs="Tahoma"/>
          <w:color w:val="FF0000"/>
          <w:sz w:val="24"/>
          <w:szCs w:val="24"/>
          <w:lang w:val="en-GB"/>
        </w:rPr>
      </w:pPr>
    </w:p>
    <w:p w14:paraId="480E07E4" w14:textId="23677AF0" w:rsidR="00571B11" w:rsidRPr="000123DE" w:rsidRDefault="006C0D2A" w:rsidP="00F62A47">
      <w:pPr>
        <w:spacing w:after="120" w:line="360" w:lineRule="auto"/>
        <w:jc w:val="both"/>
        <w:rPr>
          <w:rFonts w:ascii="Tahoma" w:hAnsi="Tahoma" w:cs="Tahoma"/>
          <w:sz w:val="24"/>
          <w:szCs w:val="24"/>
          <w:lang w:val="en-GB"/>
        </w:rPr>
      </w:pPr>
      <w:r w:rsidRPr="000123DE">
        <w:rPr>
          <w:rFonts w:ascii="Tahoma" w:hAnsi="Tahoma" w:cs="Tahoma"/>
          <w:b/>
          <w:i/>
          <w:color w:val="000000"/>
          <w:sz w:val="24"/>
          <w:szCs w:val="24"/>
          <w:lang w:val="en-GB"/>
        </w:rPr>
        <w:lastRenderedPageBreak/>
        <w:t>Personal income tax</w:t>
      </w:r>
      <w:r w:rsidRPr="000123DE">
        <w:rPr>
          <w:rFonts w:ascii="Tahoma" w:hAnsi="Tahoma" w:cs="Tahoma"/>
          <w:color w:val="000000"/>
          <w:sz w:val="24"/>
          <w:szCs w:val="24"/>
          <w:lang w:val="en-GB"/>
        </w:rPr>
        <w:t xml:space="preserve"> receipts totalled RON </w:t>
      </w:r>
      <w:r w:rsidRPr="000123DE">
        <w:rPr>
          <w:rFonts w:ascii="Tahoma" w:hAnsi="Tahoma" w:cs="Tahoma"/>
          <w:sz w:val="24"/>
          <w:szCs w:val="24"/>
          <w:lang w:val="en-GB"/>
        </w:rPr>
        <w:t xml:space="preserve">9.57 billion in the first five months of the year, advancing by 4% (yoy). This evolution was backed by </w:t>
      </w:r>
      <w:r w:rsidR="005757AC" w:rsidRPr="000123DE">
        <w:rPr>
          <w:rFonts w:ascii="Tahoma" w:hAnsi="Tahoma" w:cs="Tahoma"/>
          <w:sz w:val="24"/>
          <w:szCs w:val="24"/>
          <w:lang w:val="en-GB"/>
        </w:rPr>
        <w:t>higher revenues from pe</w:t>
      </w:r>
      <w:r w:rsidR="00571B11" w:rsidRPr="000123DE">
        <w:rPr>
          <w:rFonts w:ascii="Tahoma" w:hAnsi="Tahoma" w:cs="Tahoma"/>
          <w:sz w:val="24"/>
          <w:szCs w:val="24"/>
          <w:lang w:val="en-GB"/>
        </w:rPr>
        <w:t>ns</w:t>
      </w:r>
      <w:r w:rsidR="005757AC" w:rsidRPr="000123DE">
        <w:rPr>
          <w:rFonts w:ascii="Tahoma" w:hAnsi="Tahoma" w:cs="Tahoma"/>
          <w:sz w:val="24"/>
          <w:szCs w:val="24"/>
          <w:lang w:val="en-GB"/>
        </w:rPr>
        <w:t>ions (+40.8% yoy) and dividends (</w:t>
      </w:r>
      <w:r w:rsidR="00571B11" w:rsidRPr="000123DE">
        <w:rPr>
          <w:rFonts w:ascii="Tahoma" w:hAnsi="Tahoma" w:cs="Tahoma"/>
          <w:sz w:val="24"/>
          <w:szCs w:val="24"/>
          <w:lang w:val="en-GB"/>
        </w:rPr>
        <w:t>+</w:t>
      </w:r>
      <w:r w:rsidR="005757AC" w:rsidRPr="000123DE">
        <w:rPr>
          <w:rFonts w:ascii="Tahoma" w:hAnsi="Tahoma" w:cs="Tahoma"/>
          <w:sz w:val="24"/>
          <w:szCs w:val="24"/>
          <w:lang w:val="en-GB"/>
        </w:rPr>
        <w:t xml:space="preserve">23.4% yoy). </w:t>
      </w:r>
    </w:p>
    <w:p w14:paraId="4DC43E44" w14:textId="228469C0" w:rsidR="00F62A47" w:rsidRPr="00732C5D" w:rsidRDefault="00571B11" w:rsidP="00732C5D">
      <w:pPr>
        <w:spacing w:after="120" w:line="360" w:lineRule="auto"/>
        <w:jc w:val="both"/>
        <w:rPr>
          <w:rFonts w:ascii="Tahoma" w:hAnsi="Tahoma" w:cs="Tahoma"/>
          <w:sz w:val="24"/>
          <w:szCs w:val="24"/>
          <w:lang w:val="en-GB"/>
        </w:rPr>
      </w:pPr>
      <w:r w:rsidRPr="000123DE">
        <w:rPr>
          <w:rFonts w:ascii="Tahoma" w:hAnsi="Tahoma" w:cs="Tahoma"/>
          <w:sz w:val="24"/>
          <w:szCs w:val="24"/>
          <w:lang w:val="en-GB"/>
        </w:rPr>
        <w:t xml:space="preserve">While the wage bill expanded by 7.3% over Dec’19 – Apr’20, the labour income tax receipts increased </w:t>
      </w:r>
      <w:r w:rsidR="00021A0D" w:rsidRPr="000123DE">
        <w:rPr>
          <w:rFonts w:ascii="Tahoma" w:hAnsi="Tahoma" w:cs="Tahoma"/>
          <w:sz w:val="24"/>
          <w:szCs w:val="24"/>
          <w:lang w:val="en-GB"/>
        </w:rPr>
        <w:t xml:space="preserve">only </w:t>
      </w:r>
      <w:r w:rsidRPr="000123DE">
        <w:rPr>
          <w:rFonts w:ascii="Tahoma" w:hAnsi="Tahoma" w:cs="Tahoma"/>
          <w:sz w:val="24"/>
          <w:szCs w:val="24"/>
          <w:lang w:val="en-GB"/>
        </w:rPr>
        <w:t xml:space="preserve">marginally </w:t>
      </w:r>
      <w:r w:rsidR="00876B16" w:rsidRPr="000123DE">
        <w:rPr>
          <w:rFonts w:ascii="Tahoma" w:hAnsi="Tahoma" w:cs="Tahoma"/>
          <w:sz w:val="24"/>
          <w:szCs w:val="24"/>
          <w:lang w:val="en-GB"/>
        </w:rPr>
        <w:t>in the first five months of the year</w:t>
      </w:r>
      <w:r w:rsidR="00021A0D" w:rsidRPr="000123DE">
        <w:rPr>
          <w:rFonts w:ascii="Tahoma" w:hAnsi="Tahoma" w:cs="Tahoma"/>
          <w:sz w:val="24"/>
          <w:szCs w:val="24"/>
          <w:lang w:val="en-GB"/>
        </w:rPr>
        <w:t xml:space="preserve"> due to tax deferral</w:t>
      </w:r>
      <w:r w:rsidR="00876B16">
        <w:rPr>
          <w:rFonts w:ascii="Tahoma" w:hAnsi="Tahoma" w:cs="Tahoma"/>
          <w:sz w:val="24"/>
          <w:szCs w:val="24"/>
          <w:lang w:val="en-GB"/>
        </w:rPr>
        <w:t xml:space="preserve"> </w:t>
      </w:r>
      <w:r w:rsidR="00876B16" w:rsidRPr="000123DE">
        <w:rPr>
          <w:rFonts w:ascii="Tahoma" w:hAnsi="Tahoma" w:cs="Tahoma"/>
          <w:sz w:val="24"/>
          <w:szCs w:val="24"/>
          <w:lang w:val="en-GB"/>
        </w:rPr>
        <w:t>(+0.7% yoy)</w:t>
      </w:r>
      <w:r w:rsidR="00021A0D" w:rsidRPr="000123DE">
        <w:rPr>
          <w:rFonts w:ascii="Tahoma" w:hAnsi="Tahoma" w:cs="Tahoma"/>
          <w:sz w:val="24"/>
          <w:szCs w:val="24"/>
          <w:lang w:val="en-GB"/>
        </w:rPr>
        <w:t xml:space="preserve">. </w:t>
      </w:r>
    </w:p>
    <w:p w14:paraId="7C95A67E" w14:textId="3130D640" w:rsidR="00F62A47" w:rsidRPr="000123DE" w:rsidRDefault="001A1D91" w:rsidP="00F62A47">
      <w:pPr>
        <w:spacing w:after="0" w:line="240" w:lineRule="auto"/>
        <w:contextualSpacing/>
        <w:jc w:val="center"/>
        <w:rPr>
          <w:rFonts w:ascii="Tahoma" w:hAnsi="Tahoma" w:cs="Tahoma"/>
          <w:color w:val="FF0000"/>
          <w:sz w:val="24"/>
          <w:szCs w:val="24"/>
          <w:lang w:val="en-GB"/>
        </w:rPr>
      </w:pPr>
      <w:r>
        <w:rPr>
          <w:rFonts w:ascii="Tahoma" w:hAnsi="Tahoma" w:cs="Tahoma"/>
          <w:noProof/>
          <w:color w:val="FF0000"/>
          <w:sz w:val="24"/>
          <w:szCs w:val="24"/>
          <w:lang w:val="en-US"/>
        </w:rPr>
        <w:drawing>
          <wp:inline distT="0" distB="0" distL="0" distR="0" wp14:anchorId="495149BF" wp14:editId="0FE40E32">
            <wp:extent cx="6210300" cy="26003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1630" cy="2613441"/>
                    </a:xfrm>
                    <a:prstGeom prst="rect">
                      <a:avLst/>
                    </a:prstGeom>
                    <a:noFill/>
                  </pic:spPr>
                </pic:pic>
              </a:graphicData>
            </a:graphic>
          </wp:inline>
        </w:drawing>
      </w:r>
    </w:p>
    <w:p w14:paraId="03EE41C1" w14:textId="77777777" w:rsidR="006B7E7B" w:rsidRPr="000123DE" w:rsidRDefault="006B7E7B" w:rsidP="006B7E7B">
      <w:pPr>
        <w:pStyle w:val="ListParagraph"/>
        <w:spacing w:line="360" w:lineRule="auto"/>
        <w:jc w:val="both"/>
        <w:rPr>
          <w:rFonts w:ascii="Tahoma" w:hAnsi="Tahoma" w:cs="Tahoma"/>
          <w:color w:val="767171"/>
          <w:sz w:val="20"/>
          <w:szCs w:val="24"/>
          <w:lang w:val="en-GB"/>
        </w:rPr>
      </w:pPr>
      <w:r w:rsidRPr="000123DE">
        <w:rPr>
          <w:rFonts w:ascii="Tahoma" w:hAnsi="Tahoma" w:cs="Tahoma"/>
          <w:color w:val="767171"/>
          <w:sz w:val="20"/>
          <w:szCs w:val="24"/>
          <w:lang w:val="en-GB"/>
        </w:rPr>
        <w:t>Source: MoPF, NIS, own calculations</w:t>
      </w:r>
    </w:p>
    <w:p w14:paraId="5845DB0C" w14:textId="52C3E0E6" w:rsidR="00F62A47" w:rsidRPr="000123DE" w:rsidRDefault="00F62A47" w:rsidP="00F62A47">
      <w:pPr>
        <w:pStyle w:val="ListParagraph"/>
        <w:spacing w:before="240" w:line="360" w:lineRule="auto"/>
        <w:jc w:val="center"/>
        <w:rPr>
          <w:rFonts w:ascii="Tahoma" w:hAnsi="Tahoma" w:cs="Tahoma"/>
          <w:b/>
          <w:sz w:val="24"/>
          <w:szCs w:val="24"/>
          <w:lang w:val="en-GB"/>
        </w:rPr>
      </w:pPr>
      <w:r w:rsidRPr="000123DE">
        <w:rPr>
          <w:rFonts w:ascii="Tahoma" w:hAnsi="Tahoma" w:cs="Tahoma"/>
          <w:b/>
          <w:sz w:val="24"/>
          <w:szCs w:val="24"/>
          <w:lang w:val="en-GB"/>
        </w:rPr>
        <w:t xml:space="preserve">Fig.1 </w:t>
      </w:r>
      <w:r w:rsidR="006B7E7B" w:rsidRPr="000123DE">
        <w:rPr>
          <w:rFonts w:ascii="Tahoma" w:hAnsi="Tahoma" w:cs="Tahoma"/>
          <w:b/>
          <w:szCs w:val="24"/>
          <w:lang w:val="en-GB"/>
        </w:rPr>
        <w:t>Personal Income Tax Revenue</w:t>
      </w:r>
    </w:p>
    <w:p w14:paraId="0B2077D6" w14:textId="5CA2A172" w:rsidR="00FE39EA" w:rsidRPr="00823177" w:rsidRDefault="006B7E7B" w:rsidP="00FE39EA">
      <w:pPr>
        <w:spacing w:after="120" w:line="360" w:lineRule="auto"/>
        <w:jc w:val="both"/>
        <w:rPr>
          <w:rFonts w:ascii="Tahoma" w:hAnsi="Tahoma" w:cs="Tahoma"/>
          <w:b/>
          <w:i/>
          <w:sz w:val="24"/>
          <w:szCs w:val="24"/>
          <w:lang w:val="en-GB"/>
        </w:rPr>
      </w:pPr>
      <w:r w:rsidRPr="000123DE">
        <w:rPr>
          <w:rFonts w:ascii="Tahoma" w:hAnsi="Tahoma" w:cs="Tahoma"/>
          <w:b/>
          <w:i/>
          <w:color w:val="000000"/>
          <w:sz w:val="24"/>
          <w:szCs w:val="24"/>
          <w:lang w:val="en-GB"/>
        </w:rPr>
        <w:t xml:space="preserve">Social contribution </w:t>
      </w:r>
      <w:r w:rsidRPr="000123DE">
        <w:rPr>
          <w:rFonts w:ascii="Tahoma" w:hAnsi="Tahoma" w:cs="Tahoma"/>
          <w:color w:val="000000"/>
          <w:sz w:val="24"/>
          <w:szCs w:val="24"/>
          <w:lang w:val="en-GB"/>
        </w:rPr>
        <w:t>revenue</w:t>
      </w:r>
      <w:r w:rsidRPr="000123DE">
        <w:rPr>
          <w:rFonts w:ascii="Tahoma" w:hAnsi="Tahoma" w:cs="Tahoma"/>
          <w:b/>
          <w:i/>
          <w:color w:val="000000"/>
          <w:sz w:val="24"/>
          <w:szCs w:val="24"/>
          <w:lang w:val="en-GB"/>
        </w:rPr>
        <w:t xml:space="preserve"> </w:t>
      </w:r>
      <w:r w:rsidRPr="000123DE">
        <w:rPr>
          <w:rFonts w:ascii="Tahoma" w:hAnsi="Tahoma" w:cs="Tahoma"/>
          <w:color w:val="000000"/>
          <w:sz w:val="24"/>
          <w:szCs w:val="24"/>
          <w:lang w:val="en-GB"/>
        </w:rPr>
        <w:t>totalled</w:t>
      </w:r>
      <w:r w:rsidRPr="000123DE">
        <w:rPr>
          <w:rFonts w:ascii="Tahoma" w:hAnsi="Tahoma" w:cs="Tahoma"/>
          <w:i/>
          <w:color w:val="000000"/>
          <w:sz w:val="24"/>
          <w:szCs w:val="24"/>
          <w:lang w:val="en-GB"/>
        </w:rPr>
        <w:t xml:space="preserve"> </w:t>
      </w:r>
      <w:r w:rsidRPr="000123DE">
        <w:rPr>
          <w:rFonts w:ascii="Tahoma" w:hAnsi="Tahoma" w:cs="Tahoma"/>
          <w:color w:val="000000"/>
          <w:sz w:val="24"/>
          <w:szCs w:val="24"/>
          <w:lang w:val="en-GB"/>
        </w:rPr>
        <w:t xml:space="preserve">RON </w:t>
      </w:r>
      <w:r w:rsidRPr="000123DE">
        <w:rPr>
          <w:rFonts w:ascii="Tahoma" w:hAnsi="Tahoma" w:cs="Tahoma"/>
          <w:sz w:val="24"/>
          <w:szCs w:val="24"/>
          <w:lang w:val="en-GB"/>
        </w:rPr>
        <w:t xml:space="preserve">44.65 billion in the first five months, down by 2.1% compared to the corresponding period of last year. </w:t>
      </w:r>
      <w:r w:rsidR="00FE39EA" w:rsidRPr="000123DE">
        <w:rPr>
          <w:rFonts w:ascii="Tahoma" w:hAnsi="Tahoma" w:cs="Tahoma"/>
          <w:sz w:val="24"/>
          <w:szCs w:val="24"/>
          <w:lang w:val="en-GB"/>
        </w:rPr>
        <w:t>Social contributions revenues were adversely affected by: (i) the change in the calculation basis of social security contribution (CAS) and health insurance contribution (CASS) due by part-time employees, (ii) the extension from March 15</w:t>
      </w:r>
      <w:r w:rsidR="00FE39EA" w:rsidRPr="000123DE">
        <w:rPr>
          <w:rFonts w:ascii="Tahoma" w:hAnsi="Tahoma" w:cs="Tahoma"/>
          <w:sz w:val="24"/>
          <w:szCs w:val="24"/>
          <w:vertAlign w:val="superscript"/>
          <w:lang w:val="en-GB"/>
        </w:rPr>
        <w:t>th</w:t>
      </w:r>
      <w:r w:rsidR="00FE39EA" w:rsidRPr="000123DE">
        <w:rPr>
          <w:rFonts w:ascii="Tahoma" w:hAnsi="Tahoma" w:cs="Tahoma"/>
          <w:sz w:val="24"/>
          <w:szCs w:val="24"/>
          <w:lang w:val="en-GB"/>
        </w:rPr>
        <w:t xml:space="preserve"> to June 30</w:t>
      </w:r>
      <w:r w:rsidR="00FE39EA" w:rsidRPr="000123DE">
        <w:rPr>
          <w:rFonts w:ascii="Tahoma" w:hAnsi="Tahoma" w:cs="Tahoma"/>
          <w:sz w:val="24"/>
          <w:szCs w:val="24"/>
          <w:vertAlign w:val="superscript"/>
          <w:lang w:val="en-GB"/>
        </w:rPr>
        <w:t>th</w:t>
      </w:r>
      <w:r w:rsidR="00FE39EA" w:rsidRPr="000123DE">
        <w:rPr>
          <w:rFonts w:ascii="Tahoma" w:hAnsi="Tahoma" w:cs="Tahoma"/>
          <w:sz w:val="24"/>
          <w:szCs w:val="24"/>
          <w:lang w:val="en-GB"/>
        </w:rPr>
        <w:t xml:space="preserve"> of the submission deadline of the Single Fiscal form for individuals with independent activities, (iii) </w:t>
      </w:r>
      <w:r w:rsidR="00823177">
        <w:rPr>
          <w:rFonts w:ascii="Tahoma" w:hAnsi="Tahoma" w:cs="Tahoma"/>
          <w:sz w:val="24"/>
          <w:szCs w:val="24"/>
          <w:lang w:val="en-GB"/>
        </w:rPr>
        <w:t xml:space="preserve">exemption from </w:t>
      </w:r>
      <w:r w:rsidR="00823177">
        <w:rPr>
          <w:rFonts w:ascii="Tahoma" w:hAnsi="Tahoma" w:cs="Tahoma"/>
          <w:color w:val="000000"/>
          <w:sz w:val="24"/>
          <w:szCs w:val="24"/>
          <w:lang w:val="en-GB"/>
        </w:rPr>
        <w:t>work insurance contribution (CAM) payment during the state of emergency</w:t>
      </w:r>
      <w:r w:rsidR="00601653" w:rsidRPr="000123DE">
        <w:rPr>
          <w:rStyle w:val="FootnoteReference"/>
          <w:rFonts w:ascii="Tahoma" w:hAnsi="Tahoma" w:cs="Tahoma"/>
          <w:sz w:val="24"/>
          <w:szCs w:val="24"/>
          <w:lang w:val="en-GB"/>
        </w:rPr>
        <w:footnoteReference w:id="2"/>
      </w:r>
      <w:r w:rsidR="00FE39EA" w:rsidRPr="000123DE">
        <w:rPr>
          <w:rFonts w:ascii="Tahoma" w:hAnsi="Tahoma" w:cs="Tahoma"/>
          <w:sz w:val="24"/>
          <w:szCs w:val="24"/>
          <w:lang w:val="en-GB"/>
        </w:rPr>
        <w:t xml:space="preserve">, and (iv) payment deferral. </w:t>
      </w:r>
    </w:p>
    <w:p w14:paraId="7BC0A57C" w14:textId="7A3008ED" w:rsidR="006B7E7B" w:rsidRDefault="006B7E7B" w:rsidP="00F62A47">
      <w:pPr>
        <w:spacing w:after="120" w:line="360" w:lineRule="auto"/>
        <w:jc w:val="both"/>
        <w:rPr>
          <w:rFonts w:ascii="Tahoma" w:hAnsi="Tahoma" w:cs="Tahoma"/>
          <w:color w:val="000000"/>
          <w:sz w:val="24"/>
          <w:szCs w:val="24"/>
          <w:lang w:val="en-GB"/>
        </w:rPr>
      </w:pPr>
      <w:r w:rsidRPr="000123DE">
        <w:rPr>
          <w:rFonts w:ascii="Tahoma" w:hAnsi="Tahoma" w:cs="Tahoma"/>
          <w:sz w:val="24"/>
          <w:szCs w:val="24"/>
          <w:lang w:val="en-GB"/>
        </w:rPr>
        <w:t xml:space="preserve"> </w:t>
      </w:r>
      <w:r w:rsidRPr="000123DE">
        <w:rPr>
          <w:rFonts w:ascii="Tahoma" w:hAnsi="Tahoma" w:cs="Tahoma"/>
          <w:color w:val="000000"/>
          <w:sz w:val="24"/>
          <w:szCs w:val="24"/>
          <w:lang w:val="en-GB"/>
        </w:rPr>
        <w:t xml:space="preserve"> </w:t>
      </w:r>
    </w:p>
    <w:p w14:paraId="66D4262F" w14:textId="77777777" w:rsidR="00F62A47" w:rsidRPr="000123DE" w:rsidRDefault="00F62A47" w:rsidP="00F62A47">
      <w:pPr>
        <w:spacing w:after="120" w:line="360" w:lineRule="auto"/>
        <w:jc w:val="both"/>
        <w:rPr>
          <w:rFonts w:ascii="Tahoma" w:hAnsi="Tahoma" w:cs="Tahoma"/>
          <w:color w:val="FF0000"/>
          <w:sz w:val="24"/>
          <w:szCs w:val="24"/>
          <w:lang w:val="en-GB"/>
        </w:rPr>
      </w:pPr>
    </w:p>
    <w:p w14:paraId="73C9BD7A" w14:textId="0BB04418" w:rsidR="00F62A47" w:rsidRPr="000123DE" w:rsidRDefault="00F62A47" w:rsidP="00F62A47">
      <w:pPr>
        <w:spacing w:after="0" w:line="240" w:lineRule="auto"/>
        <w:jc w:val="center"/>
        <w:rPr>
          <w:rFonts w:ascii="Tahoma" w:hAnsi="Tahoma" w:cs="Tahoma"/>
          <w:color w:val="FF0000"/>
          <w:sz w:val="24"/>
          <w:szCs w:val="24"/>
          <w:lang w:val="en-GB"/>
        </w:rPr>
      </w:pPr>
    </w:p>
    <w:p w14:paraId="04E88139" w14:textId="6F022567" w:rsidR="00732C5D" w:rsidRDefault="001A1D91" w:rsidP="00732C5D">
      <w:pPr>
        <w:pStyle w:val="ListParagraph"/>
        <w:spacing w:line="360" w:lineRule="auto"/>
        <w:ind w:left="0"/>
        <w:rPr>
          <w:rFonts w:ascii="Tahoma" w:hAnsi="Tahoma" w:cs="Tahoma"/>
          <w:sz w:val="24"/>
          <w:szCs w:val="24"/>
          <w:lang w:val="en-GB"/>
        </w:rPr>
      </w:pPr>
      <w:r>
        <w:rPr>
          <w:rFonts w:ascii="Tahoma" w:hAnsi="Tahoma" w:cs="Tahoma"/>
          <w:noProof/>
          <w:sz w:val="24"/>
          <w:szCs w:val="24"/>
          <w:lang w:val="en-US"/>
        </w:rPr>
        <w:lastRenderedPageBreak/>
        <w:drawing>
          <wp:inline distT="0" distB="0" distL="0" distR="0" wp14:anchorId="308D01F6" wp14:editId="61AFA297">
            <wp:extent cx="6296025" cy="2562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4291" cy="2565589"/>
                    </a:xfrm>
                    <a:prstGeom prst="rect">
                      <a:avLst/>
                    </a:prstGeom>
                    <a:noFill/>
                  </pic:spPr>
                </pic:pic>
              </a:graphicData>
            </a:graphic>
          </wp:inline>
        </w:drawing>
      </w:r>
    </w:p>
    <w:p w14:paraId="2B49524C" w14:textId="77777777" w:rsidR="00732C5D" w:rsidRDefault="00732C5D" w:rsidP="00732C5D">
      <w:pPr>
        <w:pStyle w:val="ListParagraph"/>
        <w:spacing w:after="0" w:line="240" w:lineRule="auto"/>
        <w:contextualSpacing w:val="0"/>
        <w:jc w:val="both"/>
        <w:rPr>
          <w:rFonts w:ascii="Tahoma" w:hAnsi="Tahoma" w:cs="Tahoma"/>
          <w:color w:val="767171"/>
          <w:sz w:val="20"/>
          <w:szCs w:val="24"/>
          <w:lang w:val="en-US"/>
        </w:rPr>
      </w:pPr>
      <w:r w:rsidRPr="00063569">
        <w:rPr>
          <w:rFonts w:ascii="Tahoma" w:hAnsi="Tahoma" w:cs="Tahoma"/>
          <w:color w:val="767171"/>
          <w:sz w:val="20"/>
          <w:szCs w:val="24"/>
          <w:lang w:val="en-US"/>
        </w:rPr>
        <w:t>Source: MoPF, NIS, own calculations</w:t>
      </w:r>
    </w:p>
    <w:p w14:paraId="36E6E821" w14:textId="77777777" w:rsidR="00732C5D" w:rsidRPr="00063569" w:rsidRDefault="00732C5D" w:rsidP="00732C5D">
      <w:pPr>
        <w:pStyle w:val="ListParagraph"/>
        <w:spacing w:after="0" w:line="240" w:lineRule="auto"/>
        <w:contextualSpacing w:val="0"/>
        <w:jc w:val="both"/>
        <w:rPr>
          <w:rFonts w:ascii="Tahoma" w:hAnsi="Tahoma" w:cs="Tahoma"/>
          <w:color w:val="767171"/>
          <w:sz w:val="20"/>
          <w:szCs w:val="24"/>
          <w:lang w:val="en-US"/>
        </w:rPr>
      </w:pPr>
    </w:p>
    <w:p w14:paraId="53640E82" w14:textId="77777777" w:rsidR="00732C5D" w:rsidRPr="00877F5E" w:rsidRDefault="00732C5D" w:rsidP="00732C5D">
      <w:pPr>
        <w:pStyle w:val="ListParagraph"/>
        <w:spacing w:line="360" w:lineRule="auto"/>
        <w:jc w:val="center"/>
        <w:rPr>
          <w:lang w:val="en-US"/>
        </w:rPr>
      </w:pPr>
      <w:r w:rsidRPr="00877F5E">
        <w:rPr>
          <w:rFonts w:ascii="Tahoma" w:hAnsi="Tahoma" w:cs="Tahoma"/>
          <w:b/>
          <w:szCs w:val="24"/>
          <w:lang w:val="en-US"/>
        </w:rPr>
        <w:t xml:space="preserve">Fig.2 </w:t>
      </w:r>
      <w:r w:rsidRPr="00877F5E">
        <w:rPr>
          <w:rFonts w:ascii="Tahoma" w:hAnsi="Tahoma" w:cs="Tahoma"/>
          <w:b/>
          <w:sz w:val="24"/>
          <w:szCs w:val="24"/>
          <w:lang w:val="en-US"/>
        </w:rPr>
        <w:t>Social contribution revenue</w:t>
      </w:r>
    </w:p>
    <w:p w14:paraId="4CB445EE" w14:textId="1B3F64EB" w:rsidR="00F75CAB" w:rsidRPr="000123DE" w:rsidRDefault="00584B7D" w:rsidP="00F62A47">
      <w:pPr>
        <w:spacing w:before="240" w:after="120" w:line="360" w:lineRule="auto"/>
        <w:jc w:val="both"/>
        <w:rPr>
          <w:rFonts w:ascii="Tahoma" w:hAnsi="Tahoma" w:cs="Tahoma"/>
          <w:sz w:val="24"/>
          <w:szCs w:val="24"/>
          <w:lang w:val="en-GB"/>
        </w:rPr>
      </w:pPr>
      <w:r w:rsidRPr="000123DE">
        <w:rPr>
          <w:rFonts w:ascii="Tahoma" w:hAnsi="Tahoma" w:cs="Tahoma"/>
          <w:b/>
          <w:i/>
          <w:color w:val="000000"/>
          <w:sz w:val="24"/>
          <w:szCs w:val="28"/>
          <w:lang w:val="en-GB"/>
        </w:rPr>
        <w:t>Corporate income tax</w:t>
      </w:r>
      <w:r w:rsidRPr="000123DE">
        <w:rPr>
          <w:rFonts w:ascii="Tahoma" w:hAnsi="Tahoma" w:cs="Tahoma"/>
          <w:color w:val="000000"/>
          <w:sz w:val="24"/>
          <w:szCs w:val="28"/>
          <w:lang w:val="en-GB"/>
        </w:rPr>
        <w:t xml:space="preserve"> revenue amounted to RON </w:t>
      </w:r>
      <w:r w:rsidRPr="000123DE">
        <w:rPr>
          <w:rFonts w:ascii="Tahoma" w:hAnsi="Tahoma" w:cs="Tahoma"/>
          <w:sz w:val="24"/>
          <w:szCs w:val="24"/>
          <w:lang w:val="en-GB"/>
        </w:rPr>
        <w:t xml:space="preserve">6.90 billion in the first five months of the year, down by 12.5% compared to the similar period of last year. </w:t>
      </w:r>
      <w:r w:rsidR="00F75CAB" w:rsidRPr="000123DE">
        <w:rPr>
          <w:rFonts w:ascii="Tahoma" w:hAnsi="Tahoma" w:cs="Tahoma"/>
          <w:sz w:val="24"/>
          <w:szCs w:val="24"/>
          <w:lang w:val="en-GB"/>
        </w:rPr>
        <w:t xml:space="preserve">The negative dynamics is mainly explained by payment deferral (GEO no. 29/2020), as well as </w:t>
      </w:r>
      <w:r w:rsidR="00F75CAB" w:rsidRPr="000123DE">
        <w:rPr>
          <w:rFonts w:ascii="Tahoma" w:hAnsi="Tahoma" w:cs="Tahoma"/>
          <w:color w:val="000000"/>
          <w:sz w:val="24"/>
          <w:szCs w:val="28"/>
          <w:lang w:val="en-GB"/>
        </w:rPr>
        <w:t>discounts offered to CIT taxpayers who pa</w:t>
      </w:r>
      <w:r w:rsidR="002122C3">
        <w:rPr>
          <w:rFonts w:ascii="Tahoma" w:hAnsi="Tahoma" w:cs="Tahoma"/>
          <w:color w:val="000000"/>
          <w:sz w:val="24"/>
          <w:szCs w:val="28"/>
          <w:lang w:val="en-GB"/>
        </w:rPr>
        <w:t>id</w:t>
      </w:r>
      <w:r w:rsidR="00F75CAB" w:rsidRPr="000123DE">
        <w:rPr>
          <w:rFonts w:ascii="Tahoma" w:hAnsi="Tahoma" w:cs="Tahoma"/>
          <w:color w:val="000000"/>
          <w:sz w:val="24"/>
          <w:szCs w:val="28"/>
          <w:lang w:val="en-GB"/>
        </w:rPr>
        <w:t xml:space="preserve"> the tax owed: 5% for large taxpayers and 10% for small and medium taxpayers (GEO no. 33/2020, total impact of RON 0.22 billion).</w:t>
      </w:r>
    </w:p>
    <w:p w14:paraId="26188ECF" w14:textId="74D35036" w:rsidR="00F62A47" w:rsidRPr="002122C3" w:rsidRDefault="003B3BA7" w:rsidP="00F62A47">
      <w:pPr>
        <w:spacing w:before="240" w:after="120" w:line="360" w:lineRule="auto"/>
        <w:jc w:val="both"/>
        <w:rPr>
          <w:rFonts w:ascii="Tahoma" w:hAnsi="Tahoma" w:cs="Tahoma"/>
          <w:sz w:val="24"/>
          <w:szCs w:val="24"/>
          <w:lang w:val="en-GB"/>
        </w:rPr>
      </w:pPr>
      <w:r w:rsidRPr="003B3BA7">
        <w:rPr>
          <w:rFonts w:ascii="Tahoma" w:hAnsi="Tahoma" w:cs="Tahoma"/>
          <w:b/>
          <w:i/>
          <w:sz w:val="24"/>
          <w:szCs w:val="24"/>
          <w:lang w:val="en-GB"/>
        </w:rPr>
        <w:t xml:space="preserve">Other taxes on income, profit and capital gains from </w:t>
      </w:r>
      <w:r>
        <w:rPr>
          <w:rFonts w:ascii="Tahoma" w:hAnsi="Tahoma" w:cs="Tahoma"/>
          <w:b/>
          <w:i/>
          <w:sz w:val="24"/>
          <w:szCs w:val="24"/>
          <w:lang w:val="en-GB"/>
        </w:rPr>
        <w:t>juridical</w:t>
      </w:r>
      <w:r w:rsidRPr="003B3BA7">
        <w:rPr>
          <w:rFonts w:ascii="Tahoma" w:hAnsi="Tahoma" w:cs="Tahoma"/>
          <w:b/>
          <w:i/>
          <w:sz w:val="24"/>
          <w:szCs w:val="24"/>
          <w:lang w:val="en-GB"/>
        </w:rPr>
        <w:t xml:space="preserve"> persons</w:t>
      </w:r>
      <w:r w:rsidRPr="003B3BA7">
        <w:rPr>
          <w:rFonts w:ascii="Tahoma" w:hAnsi="Tahoma" w:cs="Tahoma"/>
          <w:sz w:val="24"/>
          <w:szCs w:val="24"/>
          <w:lang w:val="en-GB"/>
        </w:rPr>
        <w:t xml:space="preserve"> amounted to </w:t>
      </w:r>
      <w:r>
        <w:rPr>
          <w:rFonts w:ascii="Tahoma" w:hAnsi="Tahoma" w:cs="Tahoma"/>
          <w:sz w:val="24"/>
          <w:szCs w:val="24"/>
          <w:lang w:val="en-GB"/>
        </w:rPr>
        <w:t>RON 1.49 billion in the first five months of the year</w:t>
      </w:r>
      <w:r w:rsidR="00804F0D">
        <w:rPr>
          <w:rFonts w:ascii="Tahoma" w:hAnsi="Tahoma" w:cs="Tahoma"/>
          <w:sz w:val="24"/>
          <w:szCs w:val="24"/>
          <w:lang w:val="en-GB"/>
        </w:rPr>
        <w:t>, down by 3.4% (yoy)</w:t>
      </w:r>
      <w:r w:rsidR="002122C3">
        <w:rPr>
          <w:rFonts w:ascii="Tahoma" w:hAnsi="Tahoma" w:cs="Tahoma"/>
          <w:sz w:val="24"/>
          <w:szCs w:val="24"/>
          <w:lang w:val="en-GB"/>
        </w:rPr>
        <w:t>, mainly reflecting payment deferral for micro</w:t>
      </w:r>
      <w:r w:rsidR="00784F33">
        <w:rPr>
          <w:rFonts w:ascii="Tahoma" w:hAnsi="Tahoma" w:cs="Tahoma"/>
          <w:sz w:val="24"/>
          <w:szCs w:val="24"/>
          <w:lang w:val="en-GB"/>
        </w:rPr>
        <w:t>-</w:t>
      </w:r>
      <w:r w:rsidR="002122C3">
        <w:rPr>
          <w:rFonts w:ascii="Tahoma" w:hAnsi="Tahoma" w:cs="Tahoma"/>
          <w:sz w:val="24"/>
          <w:szCs w:val="24"/>
          <w:lang w:val="en-GB"/>
        </w:rPr>
        <w:t>enterprises revenues</w:t>
      </w:r>
      <w:r w:rsidR="002122C3" w:rsidRPr="002122C3">
        <w:rPr>
          <w:rFonts w:ascii="Tahoma" w:hAnsi="Tahoma" w:cs="Tahoma"/>
          <w:sz w:val="24"/>
          <w:szCs w:val="24"/>
          <w:lang w:val="en-GB"/>
        </w:rPr>
        <w:t xml:space="preserve"> taxpayers</w:t>
      </w:r>
      <w:r w:rsidR="00F62A47" w:rsidRPr="002122C3">
        <w:rPr>
          <w:rStyle w:val="FootnoteReference"/>
          <w:rFonts w:ascii="Tahoma" w:hAnsi="Tahoma" w:cs="Tahoma"/>
          <w:sz w:val="24"/>
          <w:szCs w:val="24"/>
          <w:lang w:val="en-GB"/>
        </w:rPr>
        <w:footnoteReference w:id="3"/>
      </w:r>
      <w:r w:rsidR="00F62A47" w:rsidRPr="002122C3">
        <w:rPr>
          <w:rFonts w:ascii="Tahoma" w:hAnsi="Tahoma" w:cs="Tahoma"/>
          <w:sz w:val="24"/>
          <w:szCs w:val="24"/>
          <w:lang w:val="en-GB"/>
        </w:rPr>
        <w:t xml:space="preserve"> (</w:t>
      </w:r>
      <w:r w:rsidR="002122C3" w:rsidRPr="002122C3">
        <w:rPr>
          <w:rFonts w:ascii="Tahoma" w:hAnsi="Tahoma" w:cs="Tahoma"/>
          <w:sz w:val="24"/>
          <w:szCs w:val="24"/>
          <w:lang w:val="en-GB"/>
        </w:rPr>
        <w:t>GEO</w:t>
      </w:r>
      <w:r w:rsidR="00F62A47" w:rsidRPr="002122C3">
        <w:rPr>
          <w:rFonts w:ascii="Tahoma" w:hAnsi="Tahoma" w:cs="Tahoma"/>
          <w:sz w:val="24"/>
          <w:szCs w:val="24"/>
          <w:lang w:val="en-GB"/>
        </w:rPr>
        <w:t xml:space="preserve"> n</w:t>
      </w:r>
      <w:r w:rsidR="002122C3" w:rsidRPr="002122C3">
        <w:rPr>
          <w:rFonts w:ascii="Tahoma" w:hAnsi="Tahoma" w:cs="Tahoma"/>
          <w:sz w:val="24"/>
          <w:szCs w:val="24"/>
          <w:lang w:val="en-GB"/>
        </w:rPr>
        <w:t>o</w:t>
      </w:r>
      <w:r w:rsidR="00F62A47" w:rsidRPr="002122C3">
        <w:rPr>
          <w:rFonts w:ascii="Tahoma" w:hAnsi="Tahoma" w:cs="Tahoma"/>
          <w:sz w:val="24"/>
          <w:szCs w:val="24"/>
          <w:lang w:val="en-GB"/>
        </w:rPr>
        <w:t>. 29/2020)</w:t>
      </w:r>
      <w:r w:rsidR="002122C3">
        <w:rPr>
          <w:rFonts w:ascii="Tahoma" w:hAnsi="Tahoma" w:cs="Tahoma"/>
          <w:sz w:val="24"/>
          <w:szCs w:val="24"/>
          <w:lang w:val="en-GB"/>
        </w:rPr>
        <w:t xml:space="preserve">, as well as 10% discounts offered to those who paid the tax owed </w:t>
      </w:r>
      <w:r w:rsidR="00F62A47" w:rsidRPr="002122C3">
        <w:rPr>
          <w:rFonts w:ascii="Tahoma" w:hAnsi="Tahoma" w:cs="Tahoma"/>
          <w:sz w:val="24"/>
          <w:szCs w:val="24"/>
          <w:lang w:val="en-GB"/>
        </w:rPr>
        <w:t>(</w:t>
      </w:r>
      <w:r w:rsidR="002122C3" w:rsidRPr="002122C3">
        <w:rPr>
          <w:rFonts w:ascii="Tahoma" w:hAnsi="Tahoma" w:cs="Tahoma"/>
          <w:sz w:val="24"/>
          <w:szCs w:val="24"/>
          <w:lang w:val="en-GB"/>
        </w:rPr>
        <w:t xml:space="preserve">GEO no. </w:t>
      </w:r>
      <w:r w:rsidR="00F62A47" w:rsidRPr="002122C3">
        <w:rPr>
          <w:rFonts w:ascii="Tahoma" w:hAnsi="Tahoma" w:cs="Tahoma"/>
          <w:sz w:val="24"/>
          <w:szCs w:val="24"/>
          <w:lang w:val="en-GB"/>
        </w:rPr>
        <w:t xml:space="preserve">33/2020, </w:t>
      </w:r>
      <w:r w:rsidR="002122C3" w:rsidRPr="002122C3">
        <w:rPr>
          <w:rFonts w:ascii="Tahoma" w:hAnsi="Tahoma" w:cs="Tahoma"/>
          <w:sz w:val="24"/>
          <w:szCs w:val="24"/>
          <w:lang w:val="en-GB"/>
        </w:rPr>
        <w:t xml:space="preserve">total impact of RON 0.03 billion) </w:t>
      </w:r>
    </w:p>
    <w:p w14:paraId="5F1DBC6C" w14:textId="64CDB496" w:rsidR="00F75CAB" w:rsidRPr="000123DE" w:rsidRDefault="00F75CAB" w:rsidP="00F62A47">
      <w:pPr>
        <w:spacing w:before="240" w:after="120" w:line="360" w:lineRule="auto"/>
        <w:jc w:val="both"/>
        <w:rPr>
          <w:rFonts w:ascii="Tahoma" w:hAnsi="Tahoma" w:cs="Tahoma"/>
          <w:sz w:val="24"/>
          <w:szCs w:val="24"/>
          <w:lang w:val="en-GB"/>
        </w:rPr>
      </w:pPr>
      <w:r w:rsidRPr="000123DE">
        <w:rPr>
          <w:rFonts w:ascii="Tahoma" w:hAnsi="Tahoma" w:cs="Tahoma"/>
          <w:b/>
          <w:i/>
          <w:sz w:val="24"/>
          <w:szCs w:val="24"/>
          <w:lang w:val="en-GB"/>
        </w:rPr>
        <w:t xml:space="preserve">VAT </w:t>
      </w:r>
      <w:r w:rsidRPr="000123DE">
        <w:rPr>
          <w:rFonts w:ascii="Tahoma" w:hAnsi="Tahoma" w:cs="Tahoma"/>
          <w:sz w:val="24"/>
          <w:szCs w:val="24"/>
          <w:lang w:val="en-GB"/>
        </w:rPr>
        <w:t>receipts amounted to RON</w:t>
      </w:r>
      <w:r w:rsidR="003F3EA8" w:rsidRPr="000123DE">
        <w:rPr>
          <w:rFonts w:ascii="Tahoma" w:hAnsi="Tahoma" w:cs="Tahoma"/>
          <w:sz w:val="24"/>
          <w:szCs w:val="24"/>
          <w:lang w:val="en-GB"/>
        </w:rPr>
        <w:t xml:space="preserve"> 20.11 billion in the first five months of 2020, down by 18.9% compared to the similar period of last year. </w:t>
      </w:r>
    </w:p>
    <w:p w14:paraId="4FEC4F97" w14:textId="77777777" w:rsidR="00E11FE5" w:rsidRPr="000123DE" w:rsidRDefault="00E11FE5" w:rsidP="00F62A47">
      <w:pPr>
        <w:spacing w:before="240" w:after="120" w:line="360" w:lineRule="auto"/>
        <w:jc w:val="both"/>
        <w:rPr>
          <w:rFonts w:ascii="Tahoma" w:hAnsi="Tahoma" w:cs="Tahoma"/>
          <w:sz w:val="24"/>
          <w:szCs w:val="24"/>
          <w:lang w:val="en-GB"/>
        </w:rPr>
      </w:pPr>
    </w:p>
    <w:p w14:paraId="070F37F1" w14:textId="3E9E9634" w:rsidR="00732C5D" w:rsidRPr="00E175D8" w:rsidRDefault="00E11FE5" w:rsidP="00E175D8">
      <w:pPr>
        <w:spacing w:before="240" w:after="120" w:line="360" w:lineRule="auto"/>
        <w:jc w:val="both"/>
        <w:rPr>
          <w:rFonts w:ascii="Tahoma" w:hAnsi="Tahoma" w:cs="Tahoma"/>
          <w:sz w:val="24"/>
          <w:szCs w:val="24"/>
          <w:lang w:val="en-GB"/>
        </w:rPr>
      </w:pPr>
      <w:r w:rsidRPr="000123DE">
        <w:rPr>
          <w:rFonts w:ascii="Tahoma" w:hAnsi="Tahoma" w:cs="Tahoma"/>
          <w:sz w:val="24"/>
          <w:szCs w:val="24"/>
          <w:lang w:val="en-GB"/>
        </w:rPr>
        <w:lastRenderedPageBreak/>
        <w:t xml:space="preserve">Over the first </w:t>
      </w:r>
      <w:r w:rsidR="00D40DFC">
        <w:rPr>
          <w:rFonts w:ascii="Tahoma" w:hAnsi="Tahoma" w:cs="Tahoma"/>
          <w:sz w:val="24"/>
          <w:szCs w:val="24"/>
          <w:lang w:val="en-GB"/>
        </w:rPr>
        <w:t>five</w:t>
      </w:r>
      <w:r w:rsidRPr="000123DE">
        <w:rPr>
          <w:rFonts w:ascii="Tahoma" w:hAnsi="Tahoma" w:cs="Tahoma"/>
          <w:sz w:val="24"/>
          <w:szCs w:val="24"/>
          <w:lang w:val="en-GB"/>
        </w:rPr>
        <w:t xml:space="preserve"> months, the VAT revenues dynamics was negatively influenced by: (i) higher VAT reimbursement by 28.4% (yoy) in order to provide additional liquidity to private companies during the economic downturn, (ii) tax deferral, (iii) unfavourable evolution of economic activity since March, in particular services, manufacturing and retail.  </w:t>
      </w:r>
    </w:p>
    <w:p w14:paraId="0C11E690" w14:textId="0F525830" w:rsidR="00732C5D" w:rsidRDefault="00D3369C" w:rsidP="00732C5D">
      <w:pPr>
        <w:pStyle w:val="ListParagraph"/>
        <w:spacing w:after="0" w:line="240" w:lineRule="auto"/>
        <w:ind w:left="0"/>
        <w:contextualSpacing w:val="0"/>
        <w:jc w:val="both"/>
        <w:rPr>
          <w:rFonts w:ascii="Tahoma" w:hAnsi="Tahoma" w:cs="Tahoma"/>
          <w:color w:val="767171"/>
          <w:sz w:val="20"/>
          <w:szCs w:val="24"/>
          <w:lang w:val="en-GB"/>
        </w:rPr>
      </w:pPr>
      <w:r>
        <w:rPr>
          <w:rFonts w:ascii="Tahoma" w:hAnsi="Tahoma" w:cs="Tahoma"/>
          <w:noProof/>
          <w:color w:val="767171"/>
          <w:sz w:val="20"/>
          <w:szCs w:val="24"/>
          <w:lang w:val="en-US"/>
        </w:rPr>
        <w:drawing>
          <wp:inline distT="0" distB="0" distL="0" distR="0" wp14:anchorId="2ADB2814" wp14:editId="5F518361">
            <wp:extent cx="6219825" cy="2914458"/>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6559" cy="2926985"/>
                    </a:xfrm>
                    <a:prstGeom prst="rect">
                      <a:avLst/>
                    </a:prstGeom>
                    <a:noFill/>
                  </pic:spPr>
                </pic:pic>
              </a:graphicData>
            </a:graphic>
          </wp:inline>
        </w:drawing>
      </w:r>
    </w:p>
    <w:p w14:paraId="30DD1296" w14:textId="123B4693" w:rsidR="005C6AA5" w:rsidRPr="000123DE" w:rsidRDefault="005C6AA5" w:rsidP="005C6AA5">
      <w:pPr>
        <w:pStyle w:val="ListParagraph"/>
        <w:spacing w:after="0" w:line="240" w:lineRule="auto"/>
        <w:contextualSpacing w:val="0"/>
        <w:jc w:val="both"/>
        <w:rPr>
          <w:rFonts w:ascii="Tahoma" w:hAnsi="Tahoma" w:cs="Tahoma"/>
          <w:color w:val="767171"/>
          <w:sz w:val="20"/>
          <w:szCs w:val="24"/>
          <w:lang w:val="en-GB"/>
        </w:rPr>
      </w:pPr>
      <w:r w:rsidRPr="000123DE">
        <w:rPr>
          <w:rFonts w:ascii="Tahoma" w:hAnsi="Tahoma" w:cs="Tahoma"/>
          <w:color w:val="767171"/>
          <w:sz w:val="20"/>
          <w:szCs w:val="24"/>
          <w:lang w:val="en-GB"/>
        </w:rPr>
        <w:t>Source: MoPF, NIS, own calculations</w:t>
      </w:r>
    </w:p>
    <w:p w14:paraId="2C1ECEBF" w14:textId="77777777" w:rsidR="005C6AA5" w:rsidRPr="000123DE" w:rsidRDefault="005C6AA5" w:rsidP="005C6AA5">
      <w:pPr>
        <w:pStyle w:val="ListParagraph"/>
        <w:spacing w:before="240" w:line="360" w:lineRule="auto"/>
        <w:jc w:val="center"/>
        <w:rPr>
          <w:rFonts w:ascii="Tahoma" w:hAnsi="Tahoma" w:cs="Tahoma"/>
          <w:b/>
          <w:szCs w:val="24"/>
          <w:lang w:val="en-GB"/>
        </w:rPr>
      </w:pPr>
      <w:r w:rsidRPr="000123DE">
        <w:rPr>
          <w:rFonts w:ascii="Tahoma" w:hAnsi="Tahoma" w:cs="Tahoma"/>
          <w:b/>
          <w:szCs w:val="24"/>
          <w:lang w:val="en-GB"/>
        </w:rPr>
        <w:t xml:space="preserve">Fig.3 </w:t>
      </w:r>
      <w:r w:rsidRPr="000123DE">
        <w:rPr>
          <w:rFonts w:ascii="Tahoma" w:hAnsi="Tahoma" w:cs="Tahoma"/>
          <w:b/>
          <w:sz w:val="24"/>
          <w:szCs w:val="24"/>
          <w:lang w:val="en-GB"/>
        </w:rPr>
        <w:t>VAT revenue</w:t>
      </w:r>
    </w:p>
    <w:p w14:paraId="041E99F0" w14:textId="77777777" w:rsidR="005C6AA5" w:rsidRPr="000123DE" w:rsidRDefault="005C6AA5" w:rsidP="00F62A47">
      <w:pPr>
        <w:spacing w:after="120" w:line="360" w:lineRule="auto"/>
        <w:jc w:val="both"/>
        <w:rPr>
          <w:rFonts w:ascii="Tahoma" w:hAnsi="Tahoma" w:cs="Tahoma"/>
          <w:b/>
          <w:i/>
          <w:color w:val="000000"/>
          <w:sz w:val="24"/>
          <w:szCs w:val="24"/>
          <w:lang w:val="en-GB"/>
        </w:rPr>
      </w:pPr>
    </w:p>
    <w:p w14:paraId="1B6D0858" w14:textId="0065EE0E" w:rsidR="005C6AA5" w:rsidRPr="000123DE" w:rsidRDefault="005C6AA5" w:rsidP="00F62A47">
      <w:pPr>
        <w:spacing w:after="120" w:line="360" w:lineRule="auto"/>
        <w:jc w:val="both"/>
        <w:rPr>
          <w:rFonts w:ascii="Tahoma" w:hAnsi="Tahoma" w:cs="Tahoma"/>
          <w:sz w:val="24"/>
          <w:szCs w:val="24"/>
          <w:lang w:val="en-GB"/>
        </w:rPr>
      </w:pPr>
      <w:r w:rsidRPr="000123DE">
        <w:rPr>
          <w:rFonts w:ascii="Tahoma" w:hAnsi="Tahoma" w:cs="Tahoma"/>
          <w:b/>
          <w:i/>
          <w:color w:val="000000"/>
          <w:sz w:val="24"/>
          <w:szCs w:val="24"/>
          <w:lang w:val="en-GB"/>
        </w:rPr>
        <w:t>Excise duties</w:t>
      </w:r>
      <w:r w:rsidRPr="000123DE">
        <w:rPr>
          <w:rFonts w:ascii="Tahoma" w:hAnsi="Tahoma" w:cs="Tahoma"/>
          <w:color w:val="000000"/>
          <w:sz w:val="24"/>
          <w:szCs w:val="24"/>
          <w:lang w:val="en-GB"/>
        </w:rPr>
        <w:t xml:space="preserve"> receipts totalled RON 11.67 billion in the first five months of 2020, decreasing marginally compared to the similar period of last year</w:t>
      </w:r>
      <w:r w:rsidR="00D62EF0" w:rsidRPr="000123DE">
        <w:rPr>
          <w:rFonts w:ascii="Tahoma" w:hAnsi="Tahoma" w:cs="Tahoma"/>
          <w:color w:val="000000"/>
          <w:sz w:val="24"/>
          <w:szCs w:val="24"/>
          <w:lang w:val="en-GB"/>
        </w:rPr>
        <w:t xml:space="preserve"> (-0.1%, yoy)</w:t>
      </w:r>
      <w:r w:rsidRPr="000123DE">
        <w:rPr>
          <w:rFonts w:ascii="Tahoma" w:hAnsi="Tahoma" w:cs="Tahoma"/>
          <w:color w:val="000000"/>
          <w:sz w:val="24"/>
          <w:szCs w:val="24"/>
          <w:lang w:val="en-GB"/>
        </w:rPr>
        <w:t xml:space="preserve">. </w:t>
      </w:r>
    </w:p>
    <w:p w14:paraId="6E0FCC2C" w14:textId="1F5A7554" w:rsidR="006C1BBF" w:rsidRPr="000123DE" w:rsidRDefault="00D62EF0" w:rsidP="006C1BBF">
      <w:pPr>
        <w:spacing w:after="120" w:line="360" w:lineRule="auto"/>
        <w:jc w:val="both"/>
        <w:rPr>
          <w:rFonts w:ascii="Tahoma" w:hAnsi="Tahoma" w:cs="Tahoma"/>
          <w:color w:val="000000"/>
          <w:sz w:val="24"/>
          <w:szCs w:val="24"/>
          <w:lang w:val="en-GB"/>
        </w:rPr>
      </w:pPr>
      <w:r w:rsidRPr="000123DE">
        <w:rPr>
          <w:rFonts w:ascii="Tahoma" w:hAnsi="Tahoma" w:cs="Tahoma"/>
          <w:sz w:val="24"/>
          <w:szCs w:val="24"/>
          <w:lang w:val="en-GB"/>
        </w:rPr>
        <w:t xml:space="preserve">Over the first </w:t>
      </w:r>
      <w:r w:rsidR="00D40DFC">
        <w:rPr>
          <w:rFonts w:ascii="Tahoma" w:hAnsi="Tahoma" w:cs="Tahoma"/>
          <w:sz w:val="24"/>
          <w:szCs w:val="24"/>
          <w:lang w:val="en-GB"/>
        </w:rPr>
        <w:t>five</w:t>
      </w:r>
      <w:r w:rsidRPr="000123DE">
        <w:rPr>
          <w:rFonts w:ascii="Tahoma" w:hAnsi="Tahoma" w:cs="Tahoma"/>
          <w:sz w:val="24"/>
          <w:szCs w:val="24"/>
          <w:lang w:val="en-GB"/>
        </w:rPr>
        <w:t xml:space="preserve"> months, excise revenue from energy products decreased by 15.4% (yoy) mainly due to fuel consumption</w:t>
      </w:r>
      <w:r w:rsidR="005D5B71">
        <w:rPr>
          <w:rFonts w:ascii="Tahoma" w:hAnsi="Tahoma" w:cs="Tahoma"/>
          <w:sz w:val="24"/>
          <w:szCs w:val="24"/>
          <w:lang w:val="en-GB"/>
        </w:rPr>
        <w:t xml:space="preserve"> </w:t>
      </w:r>
      <w:r w:rsidR="005D5B71" w:rsidRPr="000123DE">
        <w:rPr>
          <w:rFonts w:ascii="Tahoma" w:hAnsi="Tahoma" w:cs="Tahoma"/>
          <w:sz w:val="24"/>
          <w:szCs w:val="24"/>
          <w:lang w:val="en-GB"/>
        </w:rPr>
        <w:t>decline</w:t>
      </w:r>
      <w:r w:rsidRPr="000123DE">
        <w:rPr>
          <w:rFonts w:ascii="Tahoma" w:hAnsi="Tahoma" w:cs="Tahoma"/>
          <w:sz w:val="24"/>
          <w:szCs w:val="24"/>
          <w:lang w:val="en-GB"/>
        </w:rPr>
        <w:t xml:space="preserve"> since March, when the state of emergency was established. </w:t>
      </w:r>
      <w:r w:rsidR="00303213" w:rsidRPr="000123DE">
        <w:rPr>
          <w:rFonts w:ascii="Tahoma" w:hAnsi="Tahoma" w:cs="Tahoma"/>
          <w:sz w:val="24"/>
          <w:szCs w:val="24"/>
          <w:lang w:val="en-GB"/>
        </w:rPr>
        <w:t>On the other hand, excise revenue from tobacco products grew by</w:t>
      </w:r>
      <w:r w:rsidRPr="000123DE">
        <w:rPr>
          <w:rFonts w:ascii="Tahoma" w:hAnsi="Tahoma" w:cs="Tahoma"/>
          <w:sz w:val="24"/>
          <w:szCs w:val="24"/>
          <w:lang w:val="en-GB"/>
        </w:rPr>
        <w:t xml:space="preserve"> </w:t>
      </w:r>
      <w:r w:rsidR="006C1BBF" w:rsidRPr="000123DE">
        <w:rPr>
          <w:rFonts w:ascii="Tahoma" w:hAnsi="Tahoma" w:cs="Tahoma"/>
          <w:sz w:val="24"/>
          <w:szCs w:val="24"/>
          <w:lang w:val="en-GB"/>
        </w:rPr>
        <w:t xml:space="preserve">18.6% (yoy), backed by a 4.2% hike in the excise level for cigarettes. </w:t>
      </w:r>
    </w:p>
    <w:p w14:paraId="43FB8653" w14:textId="3A5D8AB6" w:rsidR="00D62EF0" w:rsidRPr="000123DE" w:rsidRDefault="00D62EF0" w:rsidP="00F62A47">
      <w:pPr>
        <w:spacing w:after="120" w:line="360" w:lineRule="auto"/>
        <w:jc w:val="both"/>
        <w:rPr>
          <w:rFonts w:ascii="Tahoma" w:hAnsi="Tahoma" w:cs="Tahoma"/>
          <w:sz w:val="24"/>
          <w:szCs w:val="24"/>
          <w:lang w:val="en-GB"/>
        </w:rPr>
      </w:pPr>
    </w:p>
    <w:p w14:paraId="5475BD05" w14:textId="525E8A54" w:rsidR="00F62A47" w:rsidRPr="000123DE" w:rsidRDefault="00F62A47" w:rsidP="00F62A47">
      <w:pPr>
        <w:spacing w:after="0" w:line="240" w:lineRule="auto"/>
        <w:jc w:val="center"/>
        <w:rPr>
          <w:rFonts w:ascii="Tahoma" w:hAnsi="Tahoma" w:cs="Tahoma"/>
          <w:color w:val="FF0000"/>
          <w:sz w:val="24"/>
          <w:szCs w:val="24"/>
          <w:lang w:val="en-GB"/>
        </w:rPr>
      </w:pPr>
    </w:p>
    <w:p w14:paraId="742BCFCE" w14:textId="77777777" w:rsidR="00E175D8" w:rsidRDefault="00E175D8" w:rsidP="00AB1EA1">
      <w:pPr>
        <w:pStyle w:val="ListParagraph"/>
        <w:spacing w:after="0" w:line="240" w:lineRule="auto"/>
        <w:contextualSpacing w:val="0"/>
        <w:jc w:val="both"/>
        <w:rPr>
          <w:rFonts w:ascii="Tahoma" w:hAnsi="Tahoma" w:cs="Tahoma"/>
          <w:color w:val="767171"/>
          <w:sz w:val="20"/>
          <w:szCs w:val="24"/>
          <w:lang w:val="en-GB"/>
        </w:rPr>
      </w:pPr>
    </w:p>
    <w:p w14:paraId="7AC70D2B" w14:textId="1757066B" w:rsidR="00E175D8" w:rsidRDefault="00E175D8" w:rsidP="00E175D8">
      <w:pPr>
        <w:pStyle w:val="ListParagraph"/>
        <w:spacing w:after="0" w:line="240" w:lineRule="auto"/>
        <w:ind w:left="0"/>
        <w:contextualSpacing w:val="0"/>
        <w:jc w:val="both"/>
        <w:rPr>
          <w:rFonts w:ascii="Tahoma" w:hAnsi="Tahoma" w:cs="Tahoma"/>
          <w:color w:val="767171"/>
          <w:sz w:val="20"/>
          <w:szCs w:val="24"/>
          <w:lang w:val="en-GB"/>
        </w:rPr>
      </w:pPr>
    </w:p>
    <w:p w14:paraId="6522400B" w14:textId="6C058CE2" w:rsidR="00EB3884" w:rsidRDefault="00EB3884" w:rsidP="00AB1EA1">
      <w:pPr>
        <w:pStyle w:val="ListParagraph"/>
        <w:spacing w:after="0" w:line="240" w:lineRule="auto"/>
        <w:contextualSpacing w:val="0"/>
        <w:jc w:val="both"/>
        <w:rPr>
          <w:rFonts w:ascii="Tahoma" w:hAnsi="Tahoma" w:cs="Tahoma"/>
          <w:color w:val="767171"/>
          <w:sz w:val="20"/>
          <w:szCs w:val="24"/>
          <w:lang w:val="en-GB"/>
        </w:rPr>
      </w:pPr>
    </w:p>
    <w:p w14:paraId="4A81CE7A" w14:textId="01B4DAEA" w:rsidR="00044A14" w:rsidRDefault="001A1D91" w:rsidP="00044A14">
      <w:pPr>
        <w:pStyle w:val="ListParagraph"/>
        <w:spacing w:after="0" w:line="240" w:lineRule="auto"/>
        <w:ind w:hanging="720"/>
        <w:contextualSpacing w:val="0"/>
        <w:jc w:val="both"/>
        <w:rPr>
          <w:rFonts w:ascii="Tahoma" w:hAnsi="Tahoma" w:cs="Tahoma"/>
          <w:color w:val="767171"/>
          <w:sz w:val="20"/>
          <w:szCs w:val="24"/>
          <w:lang w:val="en-GB"/>
        </w:rPr>
      </w:pPr>
      <w:r>
        <w:rPr>
          <w:rFonts w:ascii="Tahoma" w:hAnsi="Tahoma" w:cs="Tahoma"/>
          <w:noProof/>
          <w:color w:val="767171"/>
          <w:sz w:val="20"/>
          <w:szCs w:val="24"/>
          <w:lang w:val="en-US"/>
        </w:rPr>
        <w:lastRenderedPageBreak/>
        <w:drawing>
          <wp:inline distT="0" distB="0" distL="0" distR="0" wp14:anchorId="55B9D2A2" wp14:editId="36D62EE7">
            <wp:extent cx="6238875" cy="3007995"/>
            <wp:effectExtent l="0" t="0" r="952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1169" cy="3023565"/>
                    </a:xfrm>
                    <a:prstGeom prst="rect">
                      <a:avLst/>
                    </a:prstGeom>
                    <a:noFill/>
                  </pic:spPr>
                </pic:pic>
              </a:graphicData>
            </a:graphic>
          </wp:inline>
        </w:drawing>
      </w:r>
    </w:p>
    <w:p w14:paraId="74AA100C" w14:textId="7BF03DDA" w:rsidR="00AB1EA1" w:rsidRPr="000123DE" w:rsidRDefault="00AB1EA1" w:rsidP="00AB1EA1">
      <w:pPr>
        <w:pStyle w:val="ListParagraph"/>
        <w:spacing w:after="0" w:line="240" w:lineRule="auto"/>
        <w:contextualSpacing w:val="0"/>
        <w:jc w:val="both"/>
        <w:rPr>
          <w:rFonts w:ascii="Tahoma" w:hAnsi="Tahoma" w:cs="Tahoma"/>
          <w:color w:val="767171"/>
          <w:sz w:val="20"/>
          <w:szCs w:val="24"/>
          <w:lang w:val="en-GB"/>
        </w:rPr>
      </w:pPr>
      <w:r w:rsidRPr="000123DE">
        <w:rPr>
          <w:rFonts w:ascii="Tahoma" w:hAnsi="Tahoma" w:cs="Tahoma"/>
          <w:color w:val="767171"/>
          <w:sz w:val="20"/>
          <w:szCs w:val="24"/>
          <w:lang w:val="en-GB"/>
        </w:rPr>
        <w:t>Source: MoPF, NIS, own calculations</w:t>
      </w:r>
    </w:p>
    <w:p w14:paraId="3B368FC0" w14:textId="262B9A2D" w:rsidR="00AB1EA1" w:rsidRPr="000123DE" w:rsidRDefault="00AB1EA1" w:rsidP="00AB1EA1">
      <w:pPr>
        <w:pStyle w:val="ListParagraph"/>
        <w:spacing w:before="240" w:line="360" w:lineRule="auto"/>
        <w:jc w:val="center"/>
        <w:rPr>
          <w:rFonts w:ascii="Tahoma" w:hAnsi="Tahoma" w:cs="Tahoma"/>
          <w:b/>
          <w:szCs w:val="24"/>
          <w:lang w:val="en-GB"/>
        </w:rPr>
      </w:pPr>
      <w:r w:rsidRPr="000123DE">
        <w:rPr>
          <w:rFonts w:ascii="Tahoma" w:hAnsi="Tahoma" w:cs="Tahoma"/>
          <w:b/>
          <w:szCs w:val="24"/>
          <w:lang w:val="en-GB"/>
        </w:rPr>
        <w:t>Fig.</w:t>
      </w:r>
      <w:r w:rsidR="00044A14">
        <w:rPr>
          <w:rFonts w:ascii="Tahoma" w:hAnsi="Tahoma" w:cs="Tahoma"/>
          <w:b/>
          <w:szCs w:val="24"/>
          <w:lang w:val="en-GB"/>
        </w:rPr>
        <w:t>4</w:t>
      </w:r>
      <w:r w:rsidRPr="000123DE">
        <w:rPr>
          <w:rFonts w:ascii="Tahoma" w:hAnsi="Tahoma" w:cs="Tahoma"/>
          <w:b/>
          <w:szCs w:val="24"/>
          <w:lang w:val="en-GB"/>
        </w:rPr>
        <w:t xml:space="preserve"> </w:t>
      </w:r>
      <w:r w:rsidR="00044A14">
        <w:rPr>
          <w:rFonts w:ascii="Tahoma" w:hAnsi="Tahoma" w:cs="Tahoma"/>
          <w:b/>
          <w:sz w:val="24"/>
          <w:szCs w:val="24"/>
          <w:lang w:val="en-GB"/>
        </w:rPr>
        <w:t>Excise duties</w:t>
      </w:r>
      <w:r w:rsidRPr="000123DE">
        <w:rPr>
          <w:rFonts w:ascii="Tahoma" w:hAnsi="Tahoma" w:cs="Tahoma"/>
          <w:b/>
          <w:sz w:val="24"/>
          <w:szCs w:val="24"/>
          <w:lang w:val="en-GB"/>
        </w:rPr>
        <w:t xml:space="preserve"> revenue</w:t>
      </w:r>
    </w:p>
    <w:p w14:paraId="51F1DCD7" w14:textId="771FD038" w:rsidR="00F62A47" w:rsidRPr="000123DE" w:rsidRDefault="00AB1EA1" w:rsidP="005D5B71">
      <w:pPr>
        <w:spacing w:before="240" w:after="120" w:line="360" w:lineRule="auto"/>
        <w:jc w:val="both"/>
        <w:rPr>
          <w:rFonts w:ascii="Tahoma" w:hAnsi="Tahoma" w:cs="Tahoma"/>
          <w:sz w:val="24"/>
          <w:szCs w:val="24"/>
          <w:lang w:val="en-GB"/>
        </w:rPr>
      </w:pPr>
      <w:r w:rsidRPr="000123DE">
        <w:rPr>
          <w:rFonts w:ascii="Tahoma" w:hAnsi="Tahoma" w:cs="Tahoma"/>
          <w:sz w:val="24"/>
          <w:szCs w:val="24"/>
          <w:lang w:val="en-GB"/>
        </w:rPr>
        <w:t xml:space="preserve">Revenue from </w:t>
      </w:r>
      <w:r w:rsidRPr="000123DE">
        <w:rPr>
          <w:rFonts w:ascii="Tahoma" w:hAnsi="Tahoma" w:cs="Tahoma"/>
          <w:b/>
          <w:i/>
          <w:sz w:val="24"/>
          <w:szCs w:val="24"/>
          <w:lang w:val="en-GB"/>
        </w:rPr>
        <w:t>taxes on use of goods</w:t>
      </w:r>
      <w:r w:rsidRPr="000123DE">
        <w:rPr>
          <w:rFonts w:ascii="Tahoma" w:hAnsi="Tahoma" w:cs="Tahoma"/>
          <w:sz w:val="24"/>
          <w:szCs w:val="24"/>
          <w:lang w:val="en-GB"/>
        </w:rPr>
        <w:t xml:space="preserve"> totalled RON 2.16 billion in the first five months of the year, advancing by 137.2% (yoy). The positive dynamics </w:t>
      </w:r>
      <w:r w:rsidR="0041462F" w:rsidRPr="000123DE">
        <w:rPr>
          <w:rFonts w:ascii="Tahoma" w:hAnsi="Tahoma" w:cs="Tahoma"/>
          <w:sz w:val="24"/>
          <w:szCs w:val="24"/>
          <w:lang w:val="en-GB"/>
        </w:rPr>
        <w:t xml:space="preserve">is mainly explained by the revenue collected from broadcast licenses renewal (GD no. 226/2020). Conversely, revenues from gambling taxes declined by 56.5% (yoy) due to payment deferral (GEO no. 29/2020), </w:t>
      </w:r>
      <w:r w:rsidR="003078FF" w:rsidRPr="000123DE">
        <w:rPr>
          <w:rFonts w:ascii="Tahoma" w:hAnsi="Tahoma" w:cs="Tahoma"/>
          <w:sz w:val="24"/>
          <w:szCs w:val="24"/>
          <w:lang w:val="en-GB"/>
        </w:rPr>
        <w:t>suspension of payment obligations for traditional gambling licenses,</w:t>
      </w:r>
      <w:r w:rsidR="00410CD9" w:rsidRPr="000123DE">
        <w:rPr>
          <w:rFonts w:ascii="Tahoma" w:hAnsi="Tahoma" w:cs="Tahoma"/>
          <w:sz w:val="24"/>
          <w:szCs w:val="24"/>
          <w:lang w:val="en-GB"/>
        </w:rPr>
        <w:t xml:space="preserve"> and </w:t>
      </w:r>
      <w:r w:rsidR="005D5B71">
        <w:rPr>
          <w:rFonts w:ascii="Tahoma" w:hAnsi="Tahoma" w:cs="Tahoma"/>
          <w:sz w:val="24"/>
          <w:szCs w:val="24"/>
          <w:lang w:val="en-GB"/>
        </w:rPr>
        <w:t xml:space="preserve">exemption from payment of gambling authorizations </w:t>
      </w:r>
      <w:r w:rsidR="00410CD9" w:rsidRPr="000123DE">
        <w:rPr>
          <w:rFonts w:ascii="Tahoma" w:hAnsi="Tahoma" w:cs="Tahoma"/>
          <w:sz w:val="24"/>
          <w:szCs w:val="24"/>
          <w:lang w:val="en-GB"/>
        </w:rPr>
        <w:t>during the state of emergency</w:t>
      </w:r>
      <w:r w:rsidR="00F62A47" w:rsidRPr="000123DE">
        <w:rPr>
          <w:rFonts w:ascii="Tahoma" w:hAnsi="Tahoma" w:cs="Tahoma"/>
          <w:sz w:val="24"/>
          <w:szCs w:val="24"/>
          <w:lang w:val="en-GB"/>
        </w:rPr>
        <w:t xml:space="preserve"> (G</w:t>
      </w:r>
      <w:r w:rsidR="00410CD9" w:rsidRPr="000123DE">
        <w:rPr>
          <w:rFonts w:ascii="Tahoma" w:hAnsi="Tahoma" w:cs="Tahoma"/>
          <w:sz w:val="24"/>
          <w:szCs w:val="24"/>
          <w:lang w:val="en-GB"/>
        </w:rPr>
        <w:t>EO</w:t>
      </w:r>
      <w:r w:rsidR="00F62A47" w:rsidRPr="000123DE">
        <w:rPr>
          <w:rFonts w:ascii="Tahoma" w:hAnsi="Tahoma" w:cs="Tahoma"/>
          <w:sz w:val="24"/>
          <w:szCs w:val="24"/>
          <w:lang w:val="en-GB"/>
        </w:rPr>
        <w:t xml:space="preserve"> n</w:t>
      </w:r>
      <w:r w:rsidR="00410CD9" w:rsidRPr="000123DE">
        <w:rPr>
          <w:rFonts w:ascii="Tahoma" w:hAnsi="Tahoma" w:cs="Tahoma"/>
          <w:sz w:val="24"/>
          <w:szCs w:val="24"/>
          <w:lang w:val="en-GB"/>
        </w:rPr>
        <w:t>o</w:t>
      </w:r>
      <w:r w:rsidR="00F62A47" w:rsidRPr="000123DE">
        <w:rPr>
          <w:rFonts w:ascii="Tahoma" w:hAnsi="Tahoma" w:cs="Tahoma"/>
          <w:sz w:val="24"/>
          <w:szCs w:val="24"/>
          <w:lang w:val="en-GB"/>
        </w:rPr>
        <w:t>. 48/2020).</w:t>
      </w:r>
      <w:r w:rsidR="00F62A47" w:rsidRPr="000123DE">
        <w:rPr>
          <w:rFonts w:ascii="Tahoma" w:hAnsi="Tahoma" w:cs="Tahoma"/>
          <w:b/>
          <w:sz w:val="24"/>
          <w:szCs w:val="24"/>
          <w:lang w:val="en-GB"/>
        </w:rPr>
        <w:t xml:space="preserve"> </w:t>
      </w:r>
    </w:p>
    <w:p w14:paraId="1F701D36" w14:textId="64F62922" w:rsidR="00410CD9" w:rsidRPr="000123DE" w:rsidRDefault="00410CD9" w:rsidP="00F62A47">
      <w:pPr>
        <w:spacing w:before="240" w:after="120" w:line="360" w:lineRule="auto"/>
        <w:jc w:val="both"/>
        <w:rPr>
          <w:rFonts w:ascii="Tahoma" w:hAnsi="Tahoma" w:cs="Tahoma"/>
          <w:sz w:val="24"/>
          <w:szCs w:val="24"/>
          <w:lang w:val="en-GB"/>
        </w:rPr>
      </w:pPr>
      <w:r w:rsidRPr="000123DE">
        <w:rPr>
          <w:rFonts w:ascii="Tahoma" w:hAnsi="Tahoma" w:cs="Tahoma"/>
          <w:b/>
          <w:i/>
          <w:color w:val="000000"/>
          <w:sz w:val="24"/>
          <w:szCs w:val="24"/>
          <w:lang w:val="en-GB"/>
        </w:rPr>
        <w:t xml:space="preserve">Non-tax revenues </w:t>
      </w:r>
      <w:r w:rsidRPr="000123DE">
        <w:rPr>
          <w:rFonts w:ascii="Tahoma" w:hAnsi="Tahoma" w:cs="Tahoma"/>
          <w:color w:val="000000"/>
          <w:sz w:val="24"/>
          <w:szCs w:val="24"/>
          <w:lang w:val="en-GB"/>
        </w:rPr>
        <w:t xml:space="preserve">amounted to RON 9.04 billion in the first five months of 2020, up by 3.1% compared to the similar period of last year. </w:t>
      </w:r>
    </w:p>
    <w:p w14:paraId="5496F388" w14:textId="6F6AE982" w:rsidR="00D20A31" w:rsidRPr="000123DE" w:rsidRDefault="00D20A31" w:rsidP="00F62A47">
      <w:pPr>
        <w:spacing w:before="240" w:after="120" w:line="360" w:lineRule="auto"/>
        <w:jc w:val="both"/>
        <w:rPr>
          <w:rFonts w:ascii="Tahoma" w:hAnsi="Tahoma" w:cs="Tahoma"/>
          <w:b/>
          <w:i/>
          <w:sz w:val="24"/>
          <w:szCs w:val="24"/>
          <w:lang w:val="en-GB"/>
        </w:rPr>
      </w:pPr>
      <w:r w:rsidRPr="000123DE">
        <w:rPr>
          <w:rFonts w:ascii="Tahoma" w:hAnsi="Tahoma" w:cs="Tahoma"/>
          <w:b/>
          <w:i/>
          <w:color w:val="000000"/>
          <w:sz w:val="24"/>
          <w:szCs w:val="24"/>
          <w:lang w:val="en-GB"/>
        </w:rPr>
        <w:t xml:space="preserve">EU refunds and donations </w:t>
      </w:r>
      <w:r w:rsidRPr="000123DE">
        <w:rPr>
          <w:rFonts w:ascii="Tahoma" w:hAnsi="Tahoma" w:cs="Tahoma"/>
          <w:color w:val="000000"/>
          <w:sz w:val="24"/>
          <w:szCs w:val="24"/>
          <w:lang w:val="en-GB"/>
        </w:rPr>
        <w:t xml:space="preserve">totalled RON </w:t>
      </w:r>
      <w:r w:rsidRPr="000123DE">
        <w:rPr>
          <w:rFonts w:ascii="Tahoma" w:hAnsi="Tahoma" w:cs="Tahoma"/>
          <w:sz w:val="24"/>
          <w:szCs w:val="24"/>
          <w:lang w:val="en-GB"/>
        </w:rPr>
        <w:t xml:space="preserve">7.58 billion in the first five months, </w:t>
      </w:r>
      <w:r w:rsidR="005D5B71">
        <w:rPr>
          <w:rFonts w:ascii="Tahoma" w:hAnsi="Tahoma" w:cs="Tahoma"/>
          <w:sz w:val="24"/>
          <w:szCs w:val="24"/>
          <w:lang w:val="en-GB"/>
        </w:rPr>
        <w:t>advancing</w:t>
      </w:r>
      <w:r w:rsidRPr="000123DE">
        <w:rPr>
          <w:rFonts w:ascii="Tahoma" w:hAnsi="Tahoma" w:cs="Tahoma"/>
          <w:sz w:val="24"/>
          <w:szCs w:val="24"/>
          <w:lang w:val="en-GB"/>
        </w:rPr>
        <w:t xml:space="preserve"> by 24.8% (yoy). </w:t>
      </w:r>
    </w:p>
    <w:p w14:paraId="1349FF25" w14:textId="738D24D9" w:rsidR="00F62A47" w:rsidRDefault="00F62A47" w:rsidP="00F62A47">
      <w:pPr>
        <w:rPr>
          <w:rFonts w:ascii="Tahoma" w:hAnsi="Tahoma" w:cs="Tahoma"/>
          <w:sz w:val="24"/>
          <w:szCs w:val="24"/>
          <w:lang w:val="en-GB"/>
        </w:rPr>
      </w:pPr>
    </w:p>
    <w:p w14:paraId="08CB8628" w14:textId="77777777" w:rsidR="005D5B71" w:rsidRPr="000123DE" w:rsidRDefault="005D5B71" w:rsidP="00F62A47">
      <w:pPr>
        <w:rPr>
          <w:rFonts w:ascii="Tahoma" w:hAnsi="Tahoma" w:cs="Tahoma"/>
          <w:sz w:val="24"/>
          <w:szCs w:val="24"/>
          <w:lang w:val="en-GB"/>
        </w:rPr>
      </w:pPr>
    </w:p>
    <w:p w14:paraId="747D2DEC" w14:textId="0157A69B" w:rsidR="00D20A31" w:rsidRPr="000123DE" w:rsidRDefault="00D20A31" w:rsidP="00F62A47">
      <w:pPr>
        <w:rPr>
          <w:rFonts w:ascii="Tahoma" w:hAnsi="Tahoma" w:cs="Tahoma"/>
          <w:sz w:val="24"/>
          <w:szCs w:val="24"/>
          <w:lang w:val="en-GB"/>
        </w:rPr>
      </w:pPr>
    </w:p>
    <w:p w14:paraId="1A9F4321" w14:textId="3E48492A" w:rsidR="00D20A31" w:rsidRDefault="00D20A31" w:rsidP="00F62A47">
      <w:pPr>
        <w:rPr>
          <w:rFonts w:ascii="Tahoma" w:hAnsi="Tahoma" w:cs="Tahoma"/>
          <w:sz w:val="24"/>
          <w:szCs w:val="24"/>
          <w:lang w:val="en-GB"/>
        </w:rPr>
      </w:pPr>
    </w:p>
    <w:p w14:paraId="762B9BDC" w14:textId="77777777" w:rsidR="008F2886" w:rsidRPr="000123DE" w:rsidRDefault="008F2886" w:rsidP="00F62A47">
      <w:pPr>
        <w:rPr>
          <w:rFonts w:ascii="Tahoma" w:hAnsi="Tahoma" w:cs="Tahoma"/>
          <w:sz w:val="24"/>
          <w:szCs w:val="24"/>
          <w:lang w:val="en-GB"/>
        </w:rPr>
      </w:pPr>
    </w:p>
    <w:p w14:paraId="0AE9777B" w14:textId="77777777" w:rsidR="00D20A31" w:rsidRPr="000123DE" w:rsidRDefault="00D20A31" w:rsidP="00F62A47">
      <w:pPr>
        <w:rPr>
          <w:rFonts w:ascii="Tahoma" w:hAnsi="Tahoma" w:cs="Tahoma"/>
          <w:sz w:val="24"/>
          <w:szCs w:val="24"/>
          <w:lang w:val="en-GB"/>
        </w:rPr>
      </w:pPr>
    </w:p>
    <w:p w14:paraId="339C8A17" w14:textId="77777777" w:rsidR="00D20A31" w:rsidRPr="000123DE" w:rsidRDefault="00D20A31" w:rsidP="00D20A31">
      <w:pPr>
        <w:pStyle w:val="ListParagraph"/>
        <w:numPr>
          <w:ilvl w:val="0"/>
          <w:numId w:val="2"/>
        </w:numPr>
        <w:shd w:val="clear" w:color="auto" w:fill="D9D9D9"/>
        <w:spacing w:after="120" w:line="276" w:lineRule="auto"/>
        <w:ind w:hanging="1080"/>
        <w:jc w:val="both"/>
        <w:rPr>
          <w:rFonts w:ascii="Tahoma" w:hAnsi="Tahoma" w:cs="Tahoma"/>
          <w:b/>
          <w:caps/>
          <w:color w:val="0070C0"/>
          <w:sz w:val="24"/>
          <w:szCs w:val="24"/>
          <w:lang w:val="en-GB"/>
        </w:rPr>
      </w:pPr>
      <w:r w:rsidRPr="000123DE">
        <w:rPr>
          <w:rFonts w:ascii="Tahoma" w:hAnsi="Tahoma" w:cs="Tahoma"/>
          <w:b/>
          <w:caps/>
          <w:color w:val="0070C0"/>
          <w:sz w:val="24"/>
          <w:szCs w:val="24"/>
          <w:lang w:val="en-GB"/>
        </w:rPr>
        <w:t xml:space="preserve">GENERAL GOVERNMENT EXPENDITURE </w:t>
      </w:r>
    </w:p>
    <w:p w14:paraId="315A5843" w14:textId="77777777" w:rsidR="00F62A47" w:rsidRPr="000123DE" w:rsidRDefault="00F62A47" w:rsidP="00F62A47">
      <w:pPr>
        <w:spacing w:line="360" w:lineRule="auto"/>
        <w:ind w:right="-57"/>
        <w:jc w:val="both"/>
        <w:rPr>
          <w:rFonts w:ascii="Tahoma" w:hAnsi="Tahoma" w:cs="Tahoma"/>
          <w:b/>
          <w:i/>
          <w:sz w:val="24"/>
          <w:szCs w:val="24"/>
          <w:lang w:val="en-GB"/>
        </w:rPr>
      </w:pPr>
    </w:p>
    <w:p w14:paraId="1D3C1195" w14:textId="5C8F522A" w:rsidR="00AC3306" w:rsidRPr="000123DE" w:rsidRDefault="00D20A31" w:rsidP="00AC3306">
      <w:pPr>
        <w:shd w:val="clear" w:color="auto" w:fill="D9D9D9"/>
        <w:spacing w:after="120" w:line="360" w:lineRule="auto"/>
        <w:jc w:val="both"/>
        <w:rPr>
          <w:rFonts w:ascii="Tahoma" w:hAnsi="Tahoma" w:cs="Tahoma"/>
          <w:sz w:val="24"/>
          <w:szCs w:val="24"/>
          <w:lang w:val="en-GB"/>
        </w:rPr>
      </w:pPr>
      <w:r w:rsidRPr="000123DE">
        <w:rPr>
          <w:rFonts w:ascii="Tahoma" w:hAnsi="Tahoma" w:cs="Tahoma"/>
          <w:sz w:val="24"/>
          <w:szCs w:val="24"/>
          <w:lang w:val="en-GB"/>
        </w:rPr>
        <w:t>General government expenditure totalled RON 158.43 billion in the first five months of the year, advancing by 14.4% compared to the corresponding period of the previous year. As a percentage of GDP, total expenditure increased by 1.57 percentage points, from 13.07% in 2019 to 14</w:t>
      </w:r>
      <w:r w:rsidR="00312539">
        <w:rPr>
          <w:rFonts w:ascii="Tahoma" w:hAnsi="Tahoma" w:cs="Tahoma"/>
          <w:sz w:val="24"/>
          <w:szCs w:val="24"/>
          <w:lang w:val="en-GB"/>
        </w:rPr>
        <w:t>.</w:t>
      </w:r>
      <w:r w:rsidRPr="000123DE">
        <w:rPr>
          <w:rFonts w:ascii="Tahoma" w:hAnsi="Tahoma" w:cs="Tahoma"/>
          <w:sz w:val="24"/>
          <w:szCs w:val="24"/>
          <w:lang w:val="en-GB"/>
        </w:rPr>
        <w:t>64% in 2020.</w:t>
      </w:r>
      <w:r w:rsidR="00AC3306" w:rsidRPr="000123DE">
        <w:rPr>
          <w:rFonts w:ascii="Tahoma" w:hAnsi="Tahoma" w:cs="Tahoma"/>
          <w:sz w:val="24"/>
          <w:szCs w:val="24"/>
          <w:lang w:val="en-GB"/>
        </w:rPr>
        <w:t xml:space="preserve"> This increase</w:t>
      </w:r>
      <w:r w:rsidR="005D5B71">
        <w:rPr>
          <w:rFonts w:ascii="Tahoma" w:hAnsi="Tahoma" w:cs="Tahoma"/>
          <w:sz w:val="24"/>
          <w:szCs w:val="24"/>
          <w:lang w:val="en-GB"/>
        </w:rPr>
        <w:t xml:space="preserve"> </w:t>
      </w:r>
      <w:r w:rsidR="00AC3306" w:rsidRPr="000123DE">
        <w:rPr>
          <w:rFonts w:ascii="Tahoma" w:hAnsi="Tahoma" w:cs="Tahoma"/>
          <w:sz w:val="24"/>
          <w:szCs w:val="24"/>
          <w:lang w:val="en-GB"/>
        </w:rPr>
        <w:t>is also explained</w:t>
      </w:r>
      <w:r w:rsidR="005D5B71">
        <w:rPr>
          <w:rFonts w:ascii="Tahoma" w:hAnsi="Tahoma" w:cs="Tahoma"/>
          <w:sz w:val="24"/>
          <w:szCs w:val="24"/>
          <w:lang w:val="en-GB"/>
        </w:rPr>
        <w:t xml:space="preserve"> </w:t>
      </w:r>
      <w:r w:rsidR="00AC3306" w:rsidRPr="000123DE">
        <w:rPr>
          <w:rFonts w:ascii="Tahoma" w:hAnsi="Tahoma" w:cs="Tahoma"/>
          <w:sz w:val="24"/>
          <w:szCs w:val="24"/>
          <w:lang w:val="en-GB"/>
        </w:rPr>
        <w:t xml:space="preserve">by the measures adopted to limit the spread of the virus, and on the other hand by discretionary measures adopted in order to mitigate the negative impact on the economic activity. </w:t>
      </w:r>
    </w:p>
    <w:p w14:paraId="37DEE6D0" w14:textId="44868020" w:rsidR="00AC3306" w:rsidRPr="000123DE" w:rsidRDefault="00D40DFC" w:rsidP="00AC3306">
      <w:pPr>
        <w:shd w:val="clear" w:color="auto" w:fill="D9D9D9"/>
        <w:spacing w:after="120" w:line="360" w:lineRule="auto"/>
        <w:jc w:val="both"/>
        <w:rPr>
          <w:rFonts w:ascii="Tahoma" w:hAnsi="Tahoma" w:cs="Tahoma"/>
          <w:sz w:val="24"/>
          <w:szCs w:val="24"/>
          <w:lang w:val="en-GB"/>
        </w:rPr>
      </w:pPr>
      <w:r>
        <w:rPr>
          <w:rFonts w:ascii="Tahoma" w:hAnsi="Tahoma" w:cs="Tahoma"/>
          <w:sz w:val="24"/>
          <w:szCs w:val="24"/>
          <w:lang w:val="en-GB"/>
        </w:rPr>
        <w:t>Moreover</w:t>
      </w:r>
      <w:r w:rsidR="00AC3306" w:rsidRPr="000123DE">
        <w:rPr>
          <w:rFonts w:ascii="Tahoma" w:hAnsi="Tahoma" w:cs="Tahoma"/>
          <w:sz w:val="24"/>
          <w:szCs w:val="24"/>
          <w:lang w:val="en-GB"/>
        </w:rPr>
        <w:t xml:space="preserve">, </w:t>
      </w:r>
      <w:r w:rsidRPr="000123DE">
        <w:rPr>
          <w:rFonts w:ascii="Tahoma" w:hAnsi="Tahoma" w:cs="Tahoma"/>
          <w:sz w:val="24"/>
          <w:szCs w:val="24"/>
          <w:lang w:val="en-GB"/>
        </w:rPr>
        <w:t>RON 2</w:t>
      </w:r>
      <w:r w:rsidR="00D92E44">
        <w:rPr>
          <w:rFonts w:ascii="Tahoma" w:hAnsi="Tahoma" w:cs="Tahoma"/>
          <w:sz w:val="24"/>
          <w:szCs w:val="24"/>
          <w:lang w:val="en-GB"/>
        </w:rPr>
        <w:t xml:space="preserve">.29 billion </w:t>
      </w:r>
      <w:r w:rsidRPr="00D92E44">
        <w:rPr>
          <w:rFonts w:ascii="Tahoma" w:hAnsi="Tahoma" w:cs="Tahoma"/>
          <w:color w:val="000000" w:themeColor="text1"/>
          <w:sz w:val="24"/>
          <w:szCs w:val="24"/>
          <w:lang w:val="en-GB"/>
        </w:rPr>
        <w:t xml:space="preserve">were paid in the first five months </w:t>
      </w:r>
      <w:r w:rsidR="00BB7305" w:rsidRPr="00D92E44">
        <w:rPr>
          <w:rFonts w:ascii="Tahoma" w:hAnsi="Tahoma" w:cs="Tahoma"/>
          <w:color w:val="000000" w:themeColor="text1"/>
          <w:sz w:val="24"/>
          <w:szCs w:val="24"/>
          <w:lang w:val="en-GB"/>
        </w:rPr>
        <w:t xml:space="preserve">for technical unemployment benefits, RON 440.1 </w:t>
      </w:r>
      <w:r w:rsidR="00EB2CA5" w:rsidRPr="00D92E44">
        <w:rPr>
          <w:rFonts w:ascii="Tahoma" w:hAnsi="Tahoma" w:cs="Tahoma"/>
          <w:color w:val="000000" w:themeColor="text1"/>
          <w:sz w:val="24"/>
          <w:szCs w:val="24"/>
          <w:lang w:val="en-GB"/>
        </w:rPr>
        <w:t>million</w:t>
      </w:r>
      <w:r w:rsidR="00BB7305" w:rsidRPr="00D92E44">
        <w:rPr>
          <w:rFonts w:ascii="Tahoma" w:hAnsi="Tahoma" w:cs="Tahoma"/>
          <w:color w:val="000000" w:themeColor="text1"/>
          <w:sz w:val="24"/>
          <w:szCs w:val="24"/>
          <w:lang w:val="en-GB"/>
        </w:rPr>
        <w:t xml:space="preserve"> for other categories of professionals and for those with an individual employment agreement that were forced to stop their activity in the context of the state of emergency, and RON 9.0 million for allowances to parents </w:t>
      </w:r>
      <w:r w:rsidR="001C2E18" w:rsidRPr="00D92E44">
        <w:rPr>
          <w:rFonts w:ascii="Tahoma" w:hAnsi="Tahoma" w:cs="Tahoma"/>
          <w:color w:val="000000" w:themeColor="text1"/>
          <w:sz w:val="24"/>
          <w:szCs w:val="24"/>
          <w:lang w:val="en-GB"/>
        </w:rPr>
        <w:t xml:space="preserve">in order </w:t>
      </w:r>
      <w:r w:rsidR="00BB7305" w:rsidRPr="00D92E44">
        <w:rPr>
          <w:rFonts w:ascii="Tahoma" w:hAnsi="Tahoma" w:cs="Tahoma"/>
          <w:color w:val="000000" w:themeColor="text1"/>
          <w:sz w:val="24"/>
          <w:szCs w:val="24"/>
          <w:lang w:val="en-GB"/>
        </w:rPr>
        <w:t xml:space="preserve">to supervise their children when educational institutions </w:t>
      </w:r>
      <w:r w:rsidR="001C2E18" w:rsidRPr="00D92E44">
        <w:rPr>
          <w:rFonts w:ascii="Tahoma" w:hAnsi="Tahoma" w:cs="Tahoma"/>
          <w:color w:val="000000" w:themeColor="text1"/>
          <w:sz w:val="24"/>
          <w:szCs w:val="24"/>
          <w:lang w:val="en-GB"/>
        </w:rPr>
        <w:t>were</w:t>
      </w:r>
      <w:r w:rsidR="00BB7305" w:rsidRPr="00D92E44">
        <w:rPr>
          <w:rFonts w:ascii="Tahoma" w:hAnsi="Tahoma" w:cs="Tahoma"/>
          <w:color w:val="000000" w:themeColor="text1"/>
          <w:sz w:val="24"/>
          <w:szCs w:val="24"/>
          <w:lang w:val="en-GB"/>
        </w:rPr>
        <w:t xml:space="preserve"> temporary closed.</w:t>
      </w:r>
    </w:p>
    <w:p w14:paraId="4EDC15F1" w14:textId="77777777" w:rsidR="00BB7305" w:rsidRPr="000123DE" w:rsidRDefault="00BB7305" w:rsidP="00BB7305">
      <w:pPr>
        <w:spacing w:line="360" w:lineRule="auto"/>
        <w:ind w:right="-57"/>
        <w:jc w:val="both"/>
        <w:rPr>
          <w:rFonts w:ascii="Tahoma" w:hAnsi="Tahoma" w:cs="Tahoma"/>
          <w:b/>
          <w:i/>
          <w:sz w:val="24"/>
          <w:szCs w:val="24"/>
          <w:lang w:val="en-GB"/>
        </w:rPr>
      </w:pPr>
    </w:p>
    <w:p w14:paraId="767A3CC6" w14:textId="6B71CB33" w:rsidR="00BB7305" w:rsidRPr="000123DE" w:rsidRDefault="00BB7305" w:rsidP="00BB7305">
      <w:pPr>
        <w:spacing w:line="360" w:lineRule="auto"/>
        <w:ind w:right="-57"/>
        <w:jc w:val="both"/>
        <w:rPr>
          <w:rFonts w:ascii="Tahoma" w:hAnsi="Tahoma" w:cs="Tahoma"/>
          <w:b/>
          <w:i/>
          <w:sz w:val="24"/>
          <w:szCs w:val="24"/>
          <w:lang w:val="en-GB"/>
        </w:rPr>
      </w:pPr>
      <w:r w:rsidRPr="000123DE">
        <w:rPr>
          <w:rFonts w:ascii="Tahoma" w:hAnsi="Tahoma" w:cs="Tahoma"/>
          <w:b/>
          <w:i/>
          <w:sz w:val="24"/>
          <w:szCs w:val="24"/>
          <w:lang w:val="en-GB"/>
        </w:rPr>
        <w:t>Compensation of employees</w:t>
      </w:r>
      <w:r w:rsidR="008E6274">
        <w:rPr>
          <w:rFonts w:ascii="Tahoma" w:hAnsi="Tahoma" w:cs="Tahoma"/>
          <w:b/>
          <w:i/>
          <w:sz w:val="24"/>
          <w:szCs w:val="24"/>
          <w:lang w:val="en-GB"/>
        </w:rPr>
        <w:t xml:space="preserve"> </w:t>
      </w:r>
      <w:r w:rsidRPr="000123DE">
        <w:rPr>
          <w:rFonts w:ascii="Tahoma" w:hAnsi="Tahoma" w:cs="Tahoma"/>
          <w:sz w:val="24"/>
          <w:szCs w:val="24"/>
          <w:lang w:val="en-GB"/>
        </w:rPr>
        <w:t xml:space="preserve"> totalled RON 43.99 billion, up by 5.2% compared to the same period of last year, reflecting public wage hikes and introduction of meal allowance to all public employees as of January 1</w:t>
      </w:r>
      <w:r w:rsidRPr="000123DE">
        <w:rPr>
          <w:rFonts w:ascii="Tahoma" w:hAnsi="Tahoma" w:cs="Tahoma"/>
          <w:sz w:val="24"/>
          <w:szCs w:val="24"/>
          <w:vertAlign w:val="superscript"/>
          <w:lang w:val="en-GB"/>
        </w:rPr>
        <w:t>st</w:t>
      </w:r>
      <w:r w:rsidRPr="000123DE">
        <w:rPr>
          <w:rFonts w:ascii="Tahoma" w:hAnsi="Tahoma" w:cs="Tahoma"/>
          <w:sz w:val="24"/>
          <w:szCs w:val="24"/>
          <w:lang w:val="en-GB"/>
        </w:rPr>
        <w:t>, 2019 (Law no. 153/2017), but also by another round of public wages hikes as of January 1</w:t>
      </w:r>
      <w:r w:rsidRPr="000123DE">
        <w:rPr>
          <w:rFonts w:ascii="Tahoma" w:hAnsi="Tahoma" w:cs="Tahoma"/>
          <w:sz w:val="24"/>
          <w:szCs w:val="24"/>
          <w:vertAlign w:val="superscript"/>
          <w:lang w:val="en-GB"/>
        </w:rPr>
        <w:t>st</w:t>
      </w:r>
      <w:r w:rsidRPr="000123DE">
        <w:rPr>
          <w:rFonts w:ascii="Tahoma" w:hAnsi="Tahoma" w:cs="Tahoma"/>
          <w:sz w:val="24"/>
          <w:szCs w:val="24"/>
          <w:lang w:val="en-GB"/>
        </w:rPr>
        <w:t xml:space="preserve">, 2020. As a percentage of GDP, compensation of employees represented 4.1%, increasing only marginally (+0.12 percentage points) compared to the first five months of last year. </w:t>
      </w:r>
      <w:r w:rsidR="004461DE" w:rsidRPr="000123DE">
        <w:rPr>
          <w:rFonts w:ascii="Tahoma" w:hAnsi="Tahoma" w:cs="Tahoma"/>
          <w:sz w:val="24"/>
          <w:szCs w:val="24"/>
          <w:lang w:val="en-GB"/>
        </w:rPr>
        <w:t xml:space="preserve">In addition, </w:t>
      </w:r>
      <w:r w:rsidR="004462E2">
        <w:rPr>
          <w:rFonts w:ascii="Tahoma" w:hAnsi="Tahoma" w:cs="Tahoma"/>
          <w:sz w:val="24"/>
          <w:szCs w:val="24"/>
          <w:lang w:val="en-GB"/>
        </w:rPr>
        <w:t>RON</w:t>
      </w:r>
      <w:r w:rsidR="004461DE" w:rsidRPr="000123DE">
        <w:rPr>
          <w:rFonts w:ascii="Tahoma" w:hAnsi="Tahoma" w:cs="Tahoma"/>
          <w:sz w:val="24"/>
          <w:szCs w:val="24"/>
          <w:lang w:val="en-GB"/>
        </w:rPr>
        <w:t xml:space="preserve"> 74.2 million</w:t>
      </w:r>
      <w:r w:rsidR="004462E2">
        <w:rPr>
          <w:rFonts w:ascii="Tahoma" w:hAnsi="Tahoma" w:cs="Tahoma"/>
          <w:sz w:val="24"/>
          <w:szCs w:val="24"/>
          <w:lang w:val="en-GB"/>
        </w:rPr>
        <w:t xml:space="preserve"> were paid in May</w:t>
      </w:r>
      <w:r w:rsidR="004461DE" w:rsidRPr="000123DE">
        <w:rPr>
          <w:rFonts w:ascii="Tahoma" w:hAnsi="Tahoma" w:cs="Tahoma"/>
          <w:sz w:val="24"/>
          <w:szCs w:val="24"/>
          <w:lang w:val="en-GB"/>
        </w:rPr>
        <w:t xml:space="preserve"> to award bonuses to the medical staff treating Covid-19 pa</w:t>
      </w:r>
      <w:r w:rsidR="00986A60" w:rsidRPr="000123DE">
        <w:rPr>
          <w:rFonts w:ascii="Tahoma" w:hAnsi="Tahoma" w:cs="Tahoma"/>
          <w:sz w:val="24"/>
          <w:szCs w:val="24"/>
          <w:lang w:val="en-GB"/>
        </w:rPr>
        <w:t>t</w:t>
      </w:r>
      <w:r w:rsidR="004461DE" w:rsidRPr="000123DE">
        <w:rPr>
          <w:rFonts w:ascii="Tahoma" w:hAnsi="Tahoma" w:cs="Tahoma"/>
          <w:sz w:val="24"/>
          <w:szCs w:val="24"/>
          <w:lang w:val="en-GB"/>
        </w:rPr>
        <w:t xml:space="preserve">ients. </w:t>
      </w:r>
    </w:p>
    <w:p w14:paraId="3100A784" w14:textId="596467D5" w:rsidR="00B853B4" w:rsidRPr="000123DE" w:rsidRDefault="00B853B4" w:rsidP="00B853B4">
      <w:pPr>
        <w:spacing w:before="240" w:after="120" w:line="360" w:lineRule="auto"/>
        <w:ind w:right="-57"/>
        <w:jc w:val="both"/>
        <w:rPr>
          <w:rFonts w:ascii="Tahoma" w:hAnsi="Tahoma" w:cs="Tahoma"/>
          <w:sz w:val="24"/>
          <w:szCs w:val="24"/>
          <w:lang w:val="en-GB"/>
        </w:rPr>
      </w:pPr>
      <w:r w:rsidRPr="00044A14">
        <w:rPr>
          <w:rFonts w:ascii="Tahoma" w:hAnsi="Tahoma" w:cs="Tahoma"/>
          <w:b/>
          <w:i/>
          <w:sz w:val="24"/>
          <w:szCs w:val="24"/>
          <w:lang w:val="en-GB"/>
        </w:rPr>
        <w:t>Goods and services expenditure</w:t>
      </w:r>
      <w:r w:rsidRPr="00044A14">
        <w:rPr>
          <w:rFonts w:ascii="Tahoma" w:hAnsi="Tahoma" w:cs="Tahoma"/>
          <w:sz w:val="24"/>
          <w:szCs w:val="24"/>
          <w:lang w:val="en-GB"/>
        </w:rPr>
        <w:t xml:space="preserve"> amounted to RON 21.10 billion, advancing by 16.2% compared to the similar period of last year</w:t>
      </w:r>
      <w:r w:rsidR="00044A14" w:rsidRPr="00044A14">
        <w:rPr>
          <w:rFonts w:ascii="Tahoma" w:hAnsi="Tahoma" w:cs="Tahoma"/>
          <w:sz w:val="24"/>
          <w:szCs w:val="24"/>
          <w:lang w:val="en-GB"/>
        </w:rPr>
        <w:t xml:space="preserve"> (+ 15.6% yoy </w:t>
      </w:r>
      <w:r w:rsidR="00044A14">
        <w:rPr>
          <w:rFonts w:ascii="Tahoma" w:hAnsi="Tahoma" w:cs="Tahoma"/>
          <w:sz w:val="24"/>
          <w:szCs w:val="24"/>
          <w:lang w:val="en-GB"/>
        </w:rPr>
        <w:t>for</w:t>
      </w:r>
      <w:r w:rsidR="00044A14" w:rsidRPr="00044A14">
        <w:rPr>
          <w:rFonts w:ascii="Tahoma" w:hAnsi="Tahoma" w:cs="Tahoma"/>
          <w:sz w:val="24"/>
          <w:szCs w:val="24"/>
          <w:lang w:val="en-GB"/>
        </w:rPr>
        <w:t xml:space="preserve"> local budgets level and + 15,7% </w:t>
      </w:r>
      <w:r w:rsidRPr="00044A14">
        <w:rPr>
          <w:rFonts w:ascii="Tahoma" w:hAnsi="Tahoma" w:cs="Tahoma"/>
          <w:sz w:val="24"/>
          <w:szCs w:val="24"/>
          <w:lang w:val="en-GB"/>
        </w:rPr>
        <w:t>for some public institutions entirely or partially self-financed</w:t>
      </w:r>
      <w:r w:rsidR="00044A14" w:rsidRPr="00044A14">
        <w:rPr>
          <w:rFonts w:ascii="Tahoma" w:hAnsi="Tahoma" w:cs="Tahoma"/>
          <w:sz w:val="24"/>
          <w:szCs w:val="24"/>
          <w:lang w:val="en-GB"/>
        </w:rPr>
        <w:t xml:space="preserve">), </w:t>
      </w:r>
      <w:r w:rsidRPr="00044A14">
        <w:rPr>
          <w:rFonts w:ascii="Tahoma" w:hAnsi="Tahoma" w:cs="Tahoma"/>
          <w:sz w:val="24"/>
          <w:szCs w:val="24"/>
          <w:lang w:val="en-GB"/>
        </w:rPr>
        <w:t>mainly due to additional payments for drugs, sanitary materials and other products needed to test and to treat the people infected with Coronavirus.</w:t>
      </w:r>
      <w:r w:rsidRPr="000123DE">
        <w:rPr>
          <w:rFonts w:ascii="Tahoma" w:hAnsi="Tahoma" w:cs="Tahoma"/>
          <w:sz w:val="24"/>
          <w:szCs w:val="24"/>
          <w:lang w:val="en-GB"/>
        </w:rPr>
        <w:t xml:space="preserve"> </w:t>
      </w:r>
    </w:p>
    <w:p w14:paraId="265A12B3" w14:textId="492359C3" w:rsidR="00927BA4" w:rsidRPr="000123DE" w:rsidRDefault="00927BA4" w:rsidP="00927BA4">
      <w:pPr>
        <w:spacing w:before="240" w:after="120" w:line="360" w:lineRule="auto"/>
        <w:ind w:right="-57"/>
        <w:jc w:val="both"/>
        <w:rPr>
          <w:rFonts w:ascii="Tahoma" w:hAnsi="Tahoma" w:cs="Tahoma"/>
          <w:sz w:val="24"/>
          <w:szCs w:val="24"/>
          <w:lang w:val="en-GB"/>
        </w:rPr>
      </w:pPr>
      <w:r w:rsidRPr="000123DE">
        <w:rPr>
          <w:rFonts w:ascii="Tahoma" w:hAnsi="Tahoma" w:cs="Tahoma"/>
          <w:sz w:val="24"/>
          <w:szCs w:val="24"/>
          <w:lang w:val="en-GB"/>
        </w:rPr>
        <w:lastRenderedPageBreak/>
        <w:t xml:space="preserve">Furthermore, compared to the similar period of last year, a 13.6% increase was recorded at the level of the Unique National Fund of Health Insurances due to higher payments for drugs and outpatient medical services reimbursements. </w:t>
      </w:r>
    </w:p>
    <w:p w14:paraId="73277047" w14:textId="0DB56A9D" w:rsidR="00927BA4" w:rsidRPr="000123DE" w:rsidRDefault="00927BA4" w:rsidP="00927BA4">
      <w:pPr>
        <w:spacing w:after="120" w:line="360" w:lineRule="auto"/>
        <w:jc w:val="both"/>
        <w:rPr>
          <w:rFonts w:ascii="Tahoma" w:hAnsi="Tahoma" w:cs="Tahoma"/>
          <w:sz w:val="24"/>
          <w:szCs w:val="24"/>
          <w:lang w:val="en-GB"/>
        </w:rPr>
      </w:pPr>
      <w:r w:rsidRPr="000123DE">
        <w:rPr>
          <w:rFonts w:ascii="Tahoma" w:hAnsi="Tahoma" w:cs="Tahoma"/>
          <w:b/>
          <w:i/>
          <w:sz w:val="24"/>
          <w:szCs w:val="24"/>
          <w:lang w:val="en-GB"/>
        </w:rPr>
        <w:t>Social assistance expenditure</w:t>
      </w:r>
      <w:r w:rsidRPr="000123DE">
        <w:rPr>
          <w:rFonts w:ascii="Tahoma" w:hAnsi="Tahoma" w:cs="Tahoma"/>
          <w:sz w:val="24"/>
          <w:szCs w:val="24"/>
          <w:lang w:val="en-GB"/>
        </w:rPr>
        <w:t xml:space="preserve"> reached RON 56.83 billion, up by 21.9% compared to the similar period of last year. This dynamics is mainly explained by the increase of the pension point by 15% as of September 1</w:t>
      </w:r>
      <w:r w:rsidRPr="000123DE">
        <w:rPr>
          <w:rFonts w:ascii="Tahoma" w:hAnsi="Tahoma" w:cs="Tahoma"/>
          <w:sz w:val="24"/>
          <w:szCs w:val="24"/>
          <w:vertAlign w:val="superscript"/>
          <w:lang w:val="en-GB"/>
        </w:rPr>
        <w:t>st</w:t>
      </w:r>
      <w:r w:rsidRPr="000123DE">
        <w:rPr>
          <w:rFonts w:ascii="Tahoma" w:hAnsi="Tahoma" w:cs="Tahoma"/>
          <w:sz w:val="24"/>
          <w:szCs w:val="24"/>
          <w:lang w:val="en-GB"/>
        </w:rPr>
        <w:t>, 2019 (from RON 1,100 to RON 1,265); the increase of the social allowance for pensioners by 10%; of child allowance as of May 1</w:t>
      </w:r>
      <w:r w:rsidRPr="000123DE">
        <w:rPr>
          <w:rFonts w:ascii="Tahoma" w:hAnsi="Tahoma" w:cs="Tahoma"/>
          <w:sz w:val="24"/>
          <w:szCs w:val="24"/>
          <w:vertAlign w:val="superscript"/>
          <w:lang w:val="en-GB"/>
        </w:rPr>
        <w:t>st</w:t>
      </w:r>
      <w:r w:rsidRPr="000123DE">
        <w:rPr>
          <w:rFonts w:ascii="Tahoma" w:hAnsi="Tahoma" w:cs="Tahoma"/>
          <w:sz w:val="24"/>
          <w:szCs w:val="24"/>
          <w:lang w:val="en-GB"/>
        </w:rPr>
        <w:t>, 2019, as well as indexing child allowance with 2019 inflation rate as of January 1</w:t>
      </w:r>
      <w:r w:rsidRPr="000123DE">
        <w:rPr>
          <w:rFonts w:ascii="Tahoma" w:hAnsi="Tahoma" w:cs="Tahoma"/>
          <w:sz w:val="24"/>
          <w:szCs w:val="24"/>
          <w:vertAlign w:val="superscript"/>
          <w:lang w:val="en-GB"/>
        </w:rPr>
        <w:t>st</w:t>
      </w:r>
      <w:r w:rsidRPr="000123DE">
        <w:rPr>
          <w:rFonts w:ascii="Tahoma" w:hAnsi="Tahoma" w:cs="Tahoma"/>
          <w:sz w:val="24"/>
          <w:szCs w:val="24"/>
          <w:lang w:val="en-GB"/>
        </w:rPr>
        <w:t xml:space="preserve">, 2020. </w:t>
      </w:r>
    </w:p>
    <w:p w14:paraId="72385AA3" w14:textId="1765F238" w:rsidR="00927BA4" w:rsidRPr="000123DE" w:rsidRDefault="00927BA4" w:rsidP="00927BA4">
      <w:pPr>
        <w:spacing w:after="120" w:line="360" w:lineRule="auto"/>
        <w:jc w:val="both"/>
        <w:rPr>
          <w:rFonts w:ascii="Tahoma" w:hAnsi="Tahoma" w:cs="Tahoma"/>
          <w:color w:val="FF0000"/>
          <w:sz w:val="24"/>
          <w:szCs w:val="24"/>
          <w:lang w:val="en-GB"/>
        </w:rPr>
      </w:pPr>
      <w:r w:rsidRPr="000123DE">
        <w:rPr>
          <w:rFonts w:ascii="Tahoma" w:hAnsi="Tahoma" w:cs="Tahoma"/>
          <w:sz w:val="24"/>
          <w:szCs w:val="24"/>
          <w:lang w:val="en-GB"/>
        </w:rPr>
        <w:t xml:space="preserve">At the same time, since April, </w:t>
      </w:r>
      <w:r w:rsidR="004462E2">
        <w:rPr>
          <w:rFonts w:ascii="Tahoma" w:hAnsi="Tahoma" w:cs="Tahoma"/>
          <w:sz w:val="24"/>
          <w:szCs w:val="24"/>
          <w:lang w:val="en-GB"/>
        </w:rPr>
        <w:t xml:space="preserve">additional </w:t>
      </w:r>
      <w:r w:rsidRPr="000123DE">
        <w:rPr>
          <w:rFonts w:ascii="Tahoma" w:hAnsi="Tahoma" w:cs="Tahoma"/>
          <w:sz w:val="24"/>
          <w:szCs w:val="24"/>
          <w:lang w:val="en-GB"/>
        </w:rPr>
        <w:t xml:space="preserve">payments have been made to offset the negative impact of the Coronavirus outbreak: temporary unemployment benefits (RON 2.29 billion) and unemployment benefits for other categories of professionals and for those with an individual employment agreement that were forced to stop their activity due to the pandemic (RON 440.1 million). Furthermore, the sick leave reimbursements continue to be repaid at an accelerated pace (RON </w:t>
      </w:r>
      <w:r w:rsidR="00076E23" w:rsidRPr="000123DE">
        <w:rPr>
          <w:rFonts w:ascii="Tahoma" w:hAnsi="Tahoma" w:cs="Tahoma"/>
          <w:sz w:val="24"/>
          <w:szCs w:val="24"/>
          <w:lang w:val="en-GB"/>
        </w:rPr>
        <w:t>637</w:t>
      </w:r>
      <w:r w:rsidRPr="000123DE">
        <w:rPr>
          <w:rFonts w:ascii="Tahoma" w:hAnsi="Tahoma" w:cs="Tahoma"/>
          <w:sz w:val="24"/>
          <w:szCs w:val="24"/>
          <w:lang w:val="en-GB"/>
        </w:rPr>
        <w:t>.</w:t>
      </w:r>
      <w:r w:rsidR="00076E23" w:rsidRPr="000123DE">
        <w:rPr>
          <w:rFonts w:ascii="Tahoma" w:hAnsi="Tahoma" w:cs="Tahoma"/>
          <w:sz w:val="24"/>
          <w:szCs w:val="24"/>
          <w:lang w:val="en-GB"/>
        </w:rPr>
        <w:t>6</w:t>
      </w:r>
      <w:r w:rsidRPr="000123DE">
        <w:rPr>
          <w:rFonts w:ascii="Tahoma" w:hAnsi="Tahoma" w:cs="Tahoma"/>
          <w:sz w:val="24"/>
          <w:szCs w:val="24"/>
          <w:lang w:val="en-GB"/>
        </w:rPr>
        <w:t xml:space="preserve"> million in </w:t>
      </w:r>
      <w:r w:rsidR="00076E23" w:rsidRPr="000123DE">
        <w:rPr>
          <w:rFonts w:ascii="Tahoma" w:hAnsi="Tahoma" w:cs="Tahoma"/>
          <w:sz w:val="24"/>
          <w:szCs w:val="24"/>
          <w:lang w:val="en-GB"/>
        </w:rPr>
        <w:t>May</w:t>
      </w:r>
      <w:r w:rsidRPr="000123DE">
        <w:rPr>
          <w:rFonts w:ascii="Tahoma" w:hAnsi="Tahoma" w:cs="Tahoma"/>
          <w:sz w:val="24"/>
          <w:szCs w:val="24"/>
          <w:lang w:val="en-GB"/>
        </w:rPr>
        <w:t xml:space="preserve">), in order to reduce the stock of outstanding payments. </w:t>
      </w:r>
    </w:p>
    <w:p w14:paraId="6FFF9145" w14:textId="34E70B9D" w:rsidR="00076E23" w:rsidRPr="000123DE" w:rsidRDefault="00076E23" w:rsidP="00076E23">
      <w:pPr>
        <w:spacing w:after="120" w:line="360" w:lineRule="auto"/>
        <w:jc w:val="both"/>
        <w:rPr>
          <w:rFonts w:ascii="Tahoma" w:hAnsi="Tahoma" w:cs="Tahoma"/>
          <w:sz w:val="24"/>
          <w:szCs w:val="24"/>
          <w:lang w:val="en-GB"/>
        </w:rPr>
      </w:pPr>
      <w:r w:rsidRPr="000123DE">
        <w:rPr>
          <w:rFonts w:ascii="Tahoma" w:hAnsi="Tahoma" w:cs="Tahoma"/>
          <w:b/>
          <w:i/>
          <w:sz w:val="24"/>
          <w:szCs w:val="24"/>
          <w:lang w:val="en-GB"/>
        </w:rPr>
        <w:t>Subsidies</w:t>
      </w:r>
      <w:r w:rsidRPr="000123DE">
        <w:rPr>
          <w:rFonts w:ascii="Tahoma" w:hAnsi="Tahoma" w:cs="Tahoma"/>
          <w:sz w:val="24"/>
          <w:szCs w:val="24"/>
          <w:lang w:val="en-GB"/>
        </w:rPr>
        <w:t xml:space="preserve"> </w:t>
      </w:r>
      <w:bookmarkStart w:id="0" w:name="_GoBack"/>
      <w:bookmarkEnd w:id="0"/>
      <w:r w:rsidRPr="000123DE">
        <w:rPr>
          <w:rFonts w:ascii="Tahoma" w:hAnsi="Tahoma" w:cs="Tahoma"/>
          <w:sz w:val="24"/>
          <w:szCs w:val="24"/>
          <w:lang w:val="en-GB"/>
        </w:rPr>
        <w:t>reached RON 3.55 billion, the largest part being allocated to the agricultural sector, i.e. payments for the transitional national aid in the vegetal and zootechnical sector.</w:t>
      </w:r>
    </w:p>
    <w:p w14:paraId="254FD3BA" w14:textId="7FC8EA0F" w:rsidR="00076E23" w:rsidRPr="004462E2" w:rsidRDefault="00076E23" w:rsidP="004462E2">
      <w:pPr>
        <w:spacing w:after="120" w:line="360" w:lineRule="auto"/>
        <w:jc w:val="both"/>
        <w:rPr>
          <w:rFonts w:ascii="Tahoma" w:hAnsi="Tahoma" w:cs="Tahoma"/>
          <w:sz w:val="24"/>
          <w:szCs w:val="24"/>
          <w:lang w:val="en-GB"/>
        </w:rPr>
      </w:pPr>
      <w:r w:rsidRPr="000123DE">
        <w:rPr>
          <w:rFonts w:ascii="Tahoma" w:hAnsi="Tahoma" w:cs="Tahoma"/>
          <w:b/>
          <w:i/>
          <w:sz w:val="24"/>
          <w:szCs w:val="24"/>
          <w:lang w:val="en-GB"/>
        </w:rPr>
        <w:t xml:space="preserve">Other expenditure </w:t>
      </w:r>
      <w:r w:rsidRPr="000123DE">
        <w:rPr>
          <w:rFonts w:ascii="Tahoma" w:hAnsi="Tahoma" w:cs="Tahoma"/>
          <w:sz w:val="24"/>
          <w:szCs w:val="24"/>
          <w:lang w:val="en-GB"/>
        </w:rPr>
        <w:t>amounted to RON 2.51 billion, representing mainly amounts related to pa</w:t>
      </w:r>
      <w:r w:rsidRPr="00D92E44">
        <w:rPr>
          <w:rFonts w:ascii="Tahoma" w:hAnsi="Tahoma" w:cs="Tahoma"/>
          <w:color w:val="000000" w:themeColor="text1"/>
          <w:sz w:val="24"/>
          <w:szCs w:val="24"/>
          <w:lang w:val="en-GB"/>
        </w:rPr>
        <w:t xml:space="preserve">yment titles issued by the National Authority for Properties Restitution, scholarships for students and payments related to court decisions, as well as allowances paid to parents </w:t>
      </w:r>
      <w:r w:rsidR="00D92E44" w:rsidRPr="00D92E44">
        <w:rPr>
          <w:rFonts w:ascii="Tahoma" w:hAnsi="Tahoma" w:cs="Tahoma"/>
          <w:color w:val="000000" w:themeColor="text1"/>
          <w:sz w:val="24"/>
          <w:szCs w:val="24"/>
          <w:lang w:val="en-GB"/>
        </w:rPr>
        <w:t xml:space="preserve">in order </w:t>
      </w:r>
      <w:r w:rsidRPr="00D92E44">
        <w:rPr>
          <w:rFonts w:ascii="Tahoma" w:hAnsi="Tahoma" w:cs="Tahoma"/>
          <w:color w:val="000000" w:themeColor="text1"/>
          <w:sz w:val="24"/>
          <w:szCs w:val="24"/>
          <w:lang w:val="en-GB"/>
        </w:rPr>
        <w:t xml:space="preserve">to supervise their children when educational institutions </w:t>
      </w:r>
      <w:r w:rsidR="003807AB" w:rsidRPr="00D92E44">
        <w:rPr>
          <w:rFonts w:ascii="Tahoma" w:hAnsi="Tahoma" w:cs="Tahoma"/>
          <w:color w:val="000000" w:themeColor="text1"/>
          <w:sz w:val="24"/>
          <w:szCs w:val="24"/>
          <w:lang w:val="en-GB"/>
        </w:rPr>
        <w:t>were</w:t>
      </w:r>
      <w:r w:rsidRPr="00D92E44">
        <w:rPr>
          <w:rFonts w:ascii="Tahoma" w:hAnsi="Tahoma" w:cs="Tahoma"/>
          <w:color w:val="000000" w:themeColor="text1"/>
          <w:sz w:val="24"/>
          <w:szCs w:val="24"/>
          <w:lang w:val="en-GB"/>
        </w:rPr>
        <w:t xml:space="preserve"> temporary closed (RON 9.0 million).</w:t>
      </w:r>
    </w:p>
    <w:p w14:paraId="5DF9558E" w14:textId="6791E4FD" w:rsidR="00076E23" w:rsidRPr="000123DE" w:rsidRDefault="00076E23" w:rsidP="004462E2">
      <w:pPr>
        <w:spacing w:after="120" w:line="360" w:lineRule="auto"/>
        <w:jc w:val="both"/>
        <w:rPr>
          <w:rFonts w:ascii="Tahoma" w:hAnsi="Tahoma" w:cs="Tahoma"/>
          <w:sz w:val="24"/>
          <w:szCs w:val="24"/>
          <w:lang w:val="en-GB"/>
        </w:rPr>
      </w:pPr>
      <w:r w:rsidRPr="004462E2">
        <w:rPr>
          <w:rFonts w:ascii="Tahoma" w:hAnsi="Tahoma" w:cs="Tahoma"/>
          <w:b/>
          <w:i/>
          <w:sz w:val="24"/>
          <w:szCs w:val="24"/>
          <w:lang w:val="en-GB"/>
        </w:rPr>
        <w:t>Expenditure</w:t>
      </w:r>
      <w:r w:rsidRPr="000123DE">
        <w:rPr>
          <w:rFonts w:ascii="Tahoma" w:hAnsi="Tahoma" w:cs="Tahoma"/>
          <w:b/>
          <w:i/>
          <w:sz w:val="24"/>
          <w:szCs w:val="24"/>
          <w:lang w:val="en-GB"/>
        </w:rPr>
        <w:t xml:space="preserve"> for projects financed from non-reimbursable external funds</w:t>
      </w:r>
      <w:r w:rsidRPr="000123DE">
        <w:rPr>
          <w:rFonts w:ascii="Tahoma" w:hAnsi="Tahoma" w:cs="Tahoma"/>
          <w:sz w:val="24"/>
          <w:szCs w:val="24"/>
          <w:lang w:val="en-GB"/>
        </w:rPr>
        <w:t xml:space="preserve"> (including EU subsidies for agriculture) reached RON 8.84 billion, up by </w:t>
      </w:r>
      <w:r w:rsidRPr="000123DE">
        <w:rPr>
          <w:rFonts w:ascii="Tahoma" w:hAnsi="Tahoma" w:cs="Tahoma"/>
          <w:bCs/>
          <w:sz w:val="24"/>
          <w:szCs w:val="24"/>
          <w:lang w:val="en-GB"/>
        </w:rPr>
        <w:t xml:space="preserve">27.9% compared to the similar period of last year. </w:t>
      </w:r>
    </w:p>
    <w:p w14:paraId="659355A9" w14:textId="77777777" w:rsidR="00040EA9" w:rsidRPr="000123DE" w:rsidRDefault="00040EA9" w:rsidP="00040EA9">
      <w:pPr>
        <w:spacing w:before="240" w:after="120" w:line="360" w:lineRule="auto"/>
        <w:jc w:val="both"/>
        <w:rPr>
          <w:rFonts w:ascii="Tahoma" w:hAnsi="Tahoma" w:cs="Tahoma"/>
          <w:b/>
          <w:i/>
          <w:sz w:val="24"/>
          <w:szCs w:val="24"/>
          <w:lang w:val="en-GB"/>
        </w:rPr>
      </w:pPr>
    </w:p>
    <w:p w14:paraId="147B40B0" w14:textId="77777777" w:rsidR="00040EA9" w:rsidRPr="000123DE" w:rsidRDefault="00040EA9" w:rsidP="00040EA9">
      <w:pPr>
        <w:spacing w:before="240" w:after="120" w:line="360" w:lineRule="auto"/>
        <w:jc w:val="both"/>
        <w:rPr>
          <w:rFonts w:ascii="Tahoma" w:hAnsi="Tahoma" w:cs="Tahoma"/>
          <w:b/>
          <w:i/>
          <w:sz w:val="24"/>
          <w:szCs w:val="24"/>
          <w:lang w:val="en-GB"/>
        </w:rPr>
      </w:pPr>
    </w:p>
    <w:p w14:paraId="30D040FF" w14:textId="6A2EE123" w:rsidR="00040EA9" w:rsidRPr="000123DE" w:rsidRDefault="00040EA9" w:rsidP="00040EA9">
      <w:pPr>
        <w:spacing w:before="240" w:after="120" w:line="360" w:lineRule="auto"/>
        <w:jc w:val="both"/>
        <w:rPr>
          <w:rFonts w:ascii="Tahoma" w:hAnsi="Tahoma" w:cs="Tahoma"/>
          <w:sz w:val="24"/>
          <w:szCs w:val="24"/>
          <w:lang w:val="en-GB"/>
        </w:rPr>
      </w:pPr>
      <w:r w:rsidRPr="000123DE">
        <w:rPr>
          <w:rFonts w:ascii="Tahoma" w:hAnsi="Tahoma" w:cs="Tahoma"/>
          <w:b/>
          <w:i/>
          <w:sz w:val="24"/>
          <w:szCs w:val="24"/>
          <w:lang w:val="en-GB"/>
        </w:rPr>
        <w:lastRenderedPageBreak/>
        <w:t>Investment</w:t>
      </w:r>
      <w:r w:rsidRPr="000123DE">
        <w:rPr>
          <w:rFonts w:ascii="Tahoma" w:hAnsi="Tahoma" w:cs="Tahoma"/>
          <w:sz w:val="24"/>
          <w:szCs w:val="24"/>
          <w:lang w:val="en-GB"/>
        </w:rPr>
        <w:t>, which includes capital expenditure and spending related to development programs financed from domestic and external sources, amounted to RON 13.0</w:t>
      </w:r>
      <w:r w:rsidRPr="000123DE">
        <w:rPr>
          <w:rFonts w:ascii="Tahoma" w:hAnsi="Tahoma" w:cs="Tahoma"/>
          <w:sz w:val="24"/>
          <w:szCs w:val="28"/>
          <w:lang w:val="en-GB"/>
        </w:rPr>
        <w:t xml:space="preserve"> </w:t>
      </w:r>
      <w:r w:rsidRPr="000123DE">
        <w:rPr>
          <w:rFonts w:ascii="Tahoma" w:hAnsi="Tahoma" w:cs="Tahoma"/>
          <w:sz w:val="24"/>
          <w:szCs w:val="24"/>
          <w:lang w:val="en-GB"/>
        </w:rPr>
        <w:t>billion, registering the</w:t>
      </w:r>
      <w:r w:rsidR="004462E2">
        <w:rPr>
          <w:rFonts w:ascii="Tahoma" w:hAnsi="Tahoma" w:cs="Tahoma"/>
          <w:sz w:val="24"/>
          <w:szCs w:val="24"/>
          <w:lang w:val="en-GB"/>
        </w:rPr>
        <w:t xml:space="preserve"> peak of </w:t>
      </w:r>
      <w:r w:rsidR="004462E2" w:rsidRPr="000123DE">
        <w:rPr>
          <w:rFonts w:ascii="Tahoma" w:hAnsi="Tahoma" w:cs="Tahoma"/>
          <w:sz w:val="24"/>
          <w:szCs w:val="24"/>
          <w:lang w:val="en-GB"/>
        </w:rPr>
        <w:t>the last 10 years</w:t>
      </w:r>
      <w:r w:rsidR="004462E2">
        <w:rPr>
          <w:rFonts w:ascii="Tahoma" w:hAnsi="Tahoma" w:cs="Tahoma"/>
          <w:sz w:val="24"/>
          <w:szCs w:val="24"/>
          <w:lang w:val="en-GB"/>
        </w:rPr>
        <w:t xml:space="preserve"> (</w:t>
      </w:r>
      <w:r w:rsidR="004462E2" w:rsidRPr="000123DE">
        <w:rPr>
          <w:rFonts w:ascii="Tahoma" w:hAnsi="Tahoma" w:cs="Tahoma"/>
          <w:sz w:val="24"/>
          <w:szCs w:val="24"/>
          <w:lang w:val="en-GB"/>
        </w:rPr>
        <w:t xml:space="preserve">for the first </w:t>
      </w:r>
      <w:r w:rsidR="004462E2">
        <w:rPr>
          <w:rFonts w:ascii="Tahoma" w:hAnsi="Tahoma" w:cs="Tahoma"/>
          <w:sz w:val="24"/>
          <w:szCs w:val="24"/>
          <w:lang w:val="en-GB"/>
        </w:rPr>
        <w:t xml:space="preserve">five </w:t>
      </w:r>
      <w:r w:rsidR="004462E2" w:rsidRPr="000123DE">
        <w:rPr>
          <w:rFonts w:ascii="Tahoma" w:hAnsi="Tahoma" w:cs="Tahoma"/>
          <w:sz w:val="24"/>
          <w:szCs w:val="24"/>
          <w:lang w:val="en-GB"/>
        </w:rPr>
        <w:t>months</w:t>
      </w:r>
      <w:r w:rsidR="004462E2">
        <w:rPr>
          <w:rFonts w:ascii="Tahoma" w:hAnsi="Tahoma" w:cs="Tahoma"/>
          <w:sz w:val="24"/>
          <w:szCs w:val="24"/>
          <w:lang w:val="en-GB"/>
        </w:rPr>
        <w:t xml:space="preserve"> period). </w:t>
      </w:r>
      <w:r w:rsidRPr="000123DE">
        <w:rPr>
          <w:rFonts w:ascii="Tahoma" w:hAnsi="Tahoma" w:cs="Tahoma"/>
          <w:sz w:val="24"/>
          <w:szCs w:val="24"/>
          <w:lang w:val="en-GB"/>
        </w:rPr>
        <w:t>Compared to the similar period of last year, investment grew by 35.8% (reflecting increases at both central and local level, financed from both domestic and non-reimbursable external funds).</w:t>
      </w:r>
    </w:p>
    <w:p w14:paraId="7CBC4AF1" w14:textId="4CD8CA71" w:rsidR="00F51677" w:rsidRPr="000123DE" w:rsidRDefault="00040EA9" w:rsidP="00040EA9">
      <w:pPr>
        <w:spacing w:before="240" w:after="120" w:line="360" w:lineRule="auto"/>
        <w:jc w:val="both"/>
        <w:rPr>
          <w:rFonts w:ascii="Tahoma" w:hAnsi="Tahoma" w:cs="Tahoma"/>
          <w:sz w:val="24"/>
          <w:szCs w:val="24"/>
          <w:lang w:val="en-GB"/>
        </w:rPr>
      </w:pPr>
      <w:r w:rsidRPr="000123DE">
        <w:rPr>
          <w:rFonts w:ascii="Tahoma" w:hAnsi="Tahoma" w:cs="Tahoma"/>
          <w:sz w:val="24"/>
          <w:szCs w:val="24"/>
          <w:lang w:val="en-GB"/>
        </w:rPr>
        <w:t xml:space="preserve">Furthermore, RON 235.0 million were paid from the budget of the Ministry of Internal Affair for the purchase of emergency medical products, including thermal scanners, in order to limit the spread of the Coronavirus. </w:t>
      </w:r>
    </w:p>
    <w:p w14:paraId="33FB90BA" w14:textId="4AB818A0" w:rsidR="00F62A47" w:rsidRPr="001A174E" w:rsidRDefault="001A174E" w:rsidP="001A174E">
      <w:pPr>
        <w:pStyle w:val="ListParagraph"/>
        <w:spacing w:line="360" w:lineRule="auto"/>
        <w:jc w:val="center"/>
        <w:rPr>
          <w:rFonts w:ascii="Tahoma" w:hAnsi="Tahoma" w:cs="Tahoma"/>
          <w:color w:val="767171" w:themeColor="background2" w:themeShade="80"/>
          <w:sz w:val="24"/>
          <w:szCs w:val="24"/>
          <w:lang w:val="en-GB"/>
        </w:rPr>
      </w:pPr>
      <w:r>
        <w:rPr>
          <w:noProof/>
          <w:lang w:val="en-US"/>
        </w:rPr>
        <w:drawing>
          <wp:inline distT="0" distB="0" distL="0" distR="0" wp14:anchorId="1395927C" wp14:editId="6C216926">
            <wp:extent cx="5943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43200"/>
                    </a:xfrm>
                    <a:prstGeom prst="rect">
                      <a:avLst/>
                    </a:prstGeom>
                  </pic:spPr>
                </pic:pic>
              </a:graphicData>
            </a:graphic>
          </wp:inline>
        </w:drawing>
      </w:r>
    </w:p>
    <w:p w14:paraId="2439A212" w14:textId="77777777" w:rsidR="004462E2" w:rsidRPr="007212E6" w:rsidRDefault="004462E2" w:rsidP="004462E2">
      <w:pPr>
        <w:pStyle w:val="ListParagraph"/>
        <w:spacing w:line="360" w:lineRule="auto"/>
        <w:jc w:val="both"/>
        <w:rPr>
          <w:rFonts w:ascii="Tahoma" w:hAnsi="Tahoma" w:cs="Tahoma"/>
          <w:color w:val="767171"/>
          <w:sz w:val="20"/>
          <w:szCs w:val="24"/>
          <w:lang w:val="en-GB"/>
        </w:rPr>
      </w:pPr>
      <w:r w:rsidRPr="007212E6">
        <w:rPr>
          <w:rFonts w:ascii="Tahoma" w:hAnsi="Tahoma" w:cs="Tahoma"/>
          <w:color w:val="767171"/>
          <w:sz w:val="20"/>
          <w:szCs w:val="24"/>
          <w:lang w:val="en-GB"/>
        </w:rPr>
        <w:t>Source: MoPF</w:t>
      </w:r>
    </w:p>
    <w:p w14:paraId="4C4271CB" w14:textId="54BA0EAC" w:rsidR="007545E5" w:rsidRPr="001A174E" w:rsidRDefault="004462E2" w:rsidP="001A174E">
      <w:pPr>
        <w:pStyle w:val="ListParagraph"/>
        <w:spacing w:before="240" w:line="360" w:lineRule="auto"/>
        <w:jc w:val="center"/>
        <w:rPr>
          <w:rFonts w:ascii="Tahoma" w:hAnsi="Tahoma" w:cs="Tahoma"/>
          <w:color w:val="000000"/>
          <w:sz w:val="24"/>
          <w:szCs w:val="24"/>
          <w:lang w:val="en-GB"/>
        </w:rPr>
        <w:sectPr w:rsidR="007545E5" w:rsidRPr="001A174E" w:rsidSect="00526E8B">
          <w:footerReference w:type="default" r:id="rId13"/>
          <w:pgSz w:w="12240" w:h="15840"/>
          <w:pgMar w:top="1170" w:right="1260" w:bottom="1440" w:left="1170" w:header="720" w:footer="720" w:gutter="0"/>
          <w:cols w:space="720"/>
          <w:docGrid w:linePitch="360"/>
        </w:sectPr>
      </w:pPr>
      <w:r w:rsidRPr="007212E6">
        <w:rPr>
          <w:rFonts w:ascii="Tahoma" w:hAnsi="Tahoma" w:cs="Tahoma"/>
          <w:b/>
          <w:color w:val="767171"/>
          <w:szCs w:val="24"/>
          <w:lang w:val="en-GB"/>
        </w:rPr>
        <w:t>Fig. 5 Public investment</w:t>
      </w:r>
      <w:r w:rsidR="001A174E">
        <w:rPr>
          <w:rFonts w:ascii="Tahoma" w:hAnsi="Tahoma" w:cs="Tahoma"/>
          <w:b/>
          <w:color w:val="767171"/>
          <w:szCs w:val="24"/>
          <w:lang w:val="en-GB"/>
        </w:rPr>
        <w:t xml:space="preserve"> structure</w:t>
      </w:r>
    </w:p>
    <w:p w14:paraId="232CB09B" w14:textId="2C769335" w:rsidR="001A174E" w:rsidRDefault="00EA2D62" w:rsidP="001A174E">
      <w:pPr>
        <w:tabs>
          <w:tab w:val="left" w:pos="886"/>
        </w:tabs>
        <w:rPr>
          <w:rFonts w:ascii="Tahoma" w:hAnsi="Tahoma" w:cs="Tahoma"/>
          <w:sz w:val="24"/>
          <w:szCs w:val="24"/>
          <w:lang w:val="en-GB"/>
        </w:rPr>
      </w:pPr>
      <w:r w:rsidRPr="00EA2D62">
        <w:rPr>
          <w:noProof/>
          <w:lang w:val="en-US"/>
        </w:rPr>
        <w:lastRenderedPageBreak/>
        <w:drawing>
          <wp:inline distT="0" distB="0" distL="0" distR="0" wp14:anchorId="09EC5EDE" wp14:editId="045845D8">
            <wp:extent cx="8402320" cy="5860330"/>
            <wp:effectExtent l="0" t="0" r="0" b="762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2320" cy="5860330"/>
                    </a:xfrm>
                    <a:prstGeom prst="rect">
                      <a:avLst/>
                    </a:prstGeom>
                    <a:noFill/>
                    <a:ln>
                      <a:noFill/>
                    </a:ln>
                  </pic:spPr>
                </pic:pic>
              </a:graphicData>
            </a:graphic>
          </wp:inline>
        </w:drawing>
      </w:r>
    </w:p>
    <w:p w14:paraId="5BFA1B3D" w14:textId="518721E2" w:rsidR="00EA2D62" w:rsidRDefault="00EA2D62" w:rsidP="001A174E">
      <w:pPr>
        <w:tabs>
          <w:tab w:val="left" w:pos="886"/>
        </w:tabs>
        <w:rPr>
          <w:rFonts w:ascii="Tahoma" w:hAnsi="Tahoma" w:cs="Tahoma"/>
          <w:sz w:val="24"/>
          <w:szCs w:val="24"/>
          <w:lang w:val="en-GB"/>
        </w:rPr>
      </w:pPr>
    </w:p>
    <w:p w14:paraId="482BBC95" w14:textId="4B71F715" w:rsidR="00EA2D62" w:rsidRPr="001A174E" w:rsidRDefault="00EA2D62" w:rsidP="001A174E">
      <w:pPr>
        <w:tabs>
          <w:tab w:val="left" w:pos="886"/>
        </w:tabs>
        <w:rPr>
          <w:rFonts w:ascii="Tahoma" w:hAnsi="Tahoma" w:cs="Tahoma"/>
          <w:sz w:val="24"/>
          <w:szCs w:val="24"/>
          <w:lang w:val="en-GB"/>
        </w:rPr>
        <w:sectPr w:rsidR="00EA2D62" w:rsidRPr="001A174E" w:rsidSect="00C77514">
          <w:footerReference w:type="default" r:id="rId15"/>
          <w:pgSz w:w="15840" w:h="12240" w:orient="landscape"/>
          <w:pgMar w:top="1168" w:right="1168" w:bottom="1259" w:left="1440" w:header="720" w:footer="720" w:gutter="0"/>
          <w:cols w:space="720"/>
          <w:docGrid w:linePitch="360"/>
        </w:sectPr>
      </w:pPr>
      <w:r w:rsidRPr="00EA2D62">
        <w:rPr>
          <w:noProof/>
          <w:lang w:val="en-US"/>
        </w:rPr>
        <w:drawing>
          <wp:inline distT="0" distB="0" distL="0" distR="0" wp14:anchorId="3870393E" wp14:editId="6BFA88CA">
            <wp:extent cx="8402320" cy="3251795"/>
            <wp:effectExtent l="0" t="0" r="0" b="635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02320" cy="3251795"/>
                    </a:xfrm>
                    <a:prstGeom prst="rect">
                      <a:avLst/>
                    </a:prstGeom>
                    <a:noFill/>
                    <a:ln>
                      <a:noFill/>
                    </a:ln>
                  </pic:spPr>
                </pic:pic>
              </a:graphicData>
            </a:graphic>
          </wp:inline>
        </w:drawing>
      </w:r>
    </w:p>
    <w:p w14:paraId="6ED98A0E" w14:textId="71811118" w:rsidR="001A174E" w:rsidRDefault="004A0A2F" w:rsidP="001A174E">
      <w:pPr>
        <w:tabs>
          <w:tab w:val="left" w:pos="1066"/>
        </w:tabs>
        <w:rPr>
          <w:rFonts w:ascii="Tahoma" w:hAnsi="Tahoma" w:cs="Tahoma"/>
          <w:sz w:val="24"/>
          <w:szCs w:val="24"/>
          <w:lang w:val="en-GB"/>
        </w:rPr>
      </w:pPr>
      <w:r w:rsidRPr="004A0A2F">
        <w:rPr>
          <w:noProof/>
          <w:lang w:val="en-US"/>
        </w:rPr>
        <w:lastRenderedPageBreak/>
        <w:drawing>
          <wp:inline distT="0" distB="0" distL="0" distR="0" wp14:anchorId="09B00A30" wp14:editId="2CCA110D">
            <wp:extent cx="6236335" cy="6362903"/>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6335" cy="6362903"/>
                    </a:xfrm>
                    <a:prstGeom prst="rect">
                      <a:avLst/>
                    </a:prstGeom>
                    <a:noFill/>
                    <a:ln>
                      <a:noFill/>
                    </a:ln>
                  </pic:spPr>
                </pic:pic>
              </a:graphicData>
            </a:graphic>
          </wp:inline>
        </w:drawing>
      </w:r>
    </w:p>
    <w:p w14:paraId="7F79AFE3" w14:textId="4AC6F0C1" w:rsidR="00657A04" w:rsidRPr="001A174E" w:rsidRDefault="00657A04" w:rsidP="001A174E">
      <w:pPr>
        <w:tabs>
          <w:tab w:val="left" w:pos="1066"/>
        </w:tabs>
        <w:rPr>
          <w:rFonts w:ascii="Tahoma" w:hAnsi="Tahoma" w:cs="Tahoma"/>
          <w:sz w:val="24"/>
          <w:szCs w:val="24"/>
          <w:lang w:val="en-GB"/>
        </w:rPr>
      </w:pPr>
      <w:r w:rsidRPr="00657A04">
        <w:rPr>
          <w:noProof/>
          <w:lang w:val="en-US"/>
        </w:rPr>
        <w:lastRenderedPageBreak/>
        <w:drawing>
          <wp:inline distT="0" distB="0" distL="0" distR="0" wp14:anchorId="7C87A9B9" wp14:editId="19197732">
            <wp:extent cx="6236335" cy="3354044"/>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6335" cy="3354044"/>
                    </a:xfrm>
                    <a:prstGeom prst="rect">
                      <a:avLst/>
                    </a:prstGeom>
                    <a:noFill/>
                    <a:ln>
                      <a:noFill/>
                    </a:ln>
                  </pic:spPr>
                </pic:pic>
              </a:graphicData>
            </a:graphic>
          </wp:inline>
        </w:drawing>
      </w:r>
    </w:p>
    <w:sectPr w:rsidR="00657A04" w:rsidRPr="001A174E" w:rsidSect="006E08AF">
      <w:footerReference w:type="default" r:id="rId19"/>
      <w:pgSz w:w="12240" w:h="15840"/>
      <w:pgMar w:top="1166" w:right="1253" w:bottom="184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045A" w14:textId="77777777" w:rsidR="00FC581D" w:rsidRDefault="00FC581D" w:rsidP="006704C5">
      <w:pPr>
        <w:spacing w:after="0" w:line="240" w:lineRule="auto"/>
      </w:pPr>
      <w:r>
        <w:separator/>
      </w:r>
    </w:p>
  </w:endnote>
  <w:endnote w:type="continuationSeparator" w:id="0">
    <w:p w14:paraId="608D6A92" w14:textId="77777777" w:rsidR="00FC581D" w:rsidRDefault="00FC581D"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29"/>
      <w:gridCol w:w="992"/>
      <w:gridCol w:w="3289"/>
    </w:tblGrid>
    <w:tr w:rsidR="007545E5" w14:paraId="3DD37C71" w14:textId="77777777" w:rsidTr="00BA7156">
      <w:trPr>
        <w:trHeight w:hRule="exact" w:val="115"/>
        <w:jc w:val="center"/>
      </w:trPr>
      <w:tc>
        <w:tcPr>
          <w:tcW w:w="5529" w:type="dxa"/>
          <w:shd w:val="clear" w:color="auto" w:fill="5B9BD5" w:themeFill="accent1"/>
          <w:tcMar>
            <w:top w:w="0" w:type="dxa"/>
            <w:bottom w:w="0" w:type="dxa"/>
          </w:tcMar>
        </w:tcPr>
        <w:p w14:paraId="4ABD6DB4" w14:textId="77777777" w:rsidR="007545E5" w:rsidRDefault="007545E5" w:rsidP="00231361">
          <w:pPr>
            <w:pStyle w:val="Header"/>
            <w:tabs>
              <w:tab w:val="clear" w:pos="4680"/>
              <w:tab w:val="clear" w:pos="9360"/>
            </w:tabs>
            <w:rPr>
              <w:caps/>
              <w:sz w:val="18"/>
            </w:rPr>
          </w:pPr>
        </w:p>
      </w:tc>
      <w:tc>
        <w:tcPr>
          <w:tcW w:w="4281" w:type="dxa"/>
          <w:gridSpan w:val="2"/>
          <w:shd w:val="clear" w:color="auto" w:fill="5B9BD5" w:themeFill="accent1"/>
          <w:tcMar>
            <w:top w:w="0" w:type="dxa"/>
            <w:bottom w:w="0" w:type="dxa"/>
          </w:tcMar>
        </w:tcPr>
        <w:p w14:paraId="60267140" w14:textId="77777777" w:rsidR="007545E5" w:rsidRDefault="007545E5" w:rsidP="00231361">
          <w:pPr>
            <w:pStyle w:val="Header"/>
            <w:tabs>
              <w:tab w:val="clear" w:pos="4680"/>
              <w:tab w:val="clear" w:pos="9360"/>
            </w:tabs>
            <w:jc w:val="right"/>
            <w:rPr>
              <w:caps/>
              <w:sz w:val="18"/>
            </w:rPr>
          </w:pPr>
        </w:p>
      </w:tc>
    </w:tr>
    <w:tr w:rsidR="007545E5" w14:paraId="7E36C5A9" w14:textId="77777777" w:rsidTr="00BA7156">
      <w:trPr>
        <w:trHeight w:hRule="exact" w:val="115"/>
        <w:jc w:val="center"/>
      </w:trPr>
      <w:tc>
        <w:tcPr>
          <w:tcW w:w="5529" w:type="dxa"/>
          <w:shd w:val="clear" w:color="auto" w:fill="5B9BD5" w:themeFill="accent1"/>
          <w:tcMar>
            <w:top w:w="0" w:type="dxa"/>
            <w:bottom w:w="0" w:type="dxa"/>
          </w:tcMar>
        </w:tcPr>
        <w:p w14:paraId="7559CCDF" w14:textId="77777777" w:rsidR="007545E5" w:rsidRDefault="007545E5" w:rsidP="00231361">
          <w:pPr>
            <w:pStyle w:val="Header"/>
            <w:tabs>
              <w:tab w:val="clear" w:pos="4680"/>
              <w:tab w:val="clear" w:pos="9360"/>
            </w:tabs>
            <w:rPr>
              <w:caps/>
              <w:sz w:val="18"/>
            </w:rPr>
          </w:pPr>
        </w:p>
      </w:tc>
      <w:tc>
        <w:tcPr>
          <w:tcW w:w="4281" w:type="dxa"/>
          <w:gridSpan w:val="2"/>
          <w:shd w:val="clear" w:color="auto" w:fill="5B9BD5" w:themeFill="accent1"/>
          <w:tcMar>
            <w:top w:w="0" w:type="dxa"/>
            <w:bottom w:w="0" w:type="dxa"/>
          </w:tcMar>
        </w:tcPr>
        <w:p w14:paraId="11156E57" w14:textId="77777777" w:rsidR="007545E5" w:rsidRDefault="007545E5" w:rsidP="00231361">
          <w:pPr>
            <w:pStyle w:val="Header"/>
            <w:tabs>
              <w:tab w:val="clear" w:pos="4680"/>
              <w:tab w:val="clear" w:pos="9360"/>
            </w:tabs>
            <w:jc w:val="right"/>
            <w:rPr>
              <w:caps/>
              <w:sz w:val="18"/>
            </w:rPr>
          </w:pPr>
        </w:p>
      </w:tc>
    </w:tr>
    <w:tr w:rsidR="007545E5" w14:paraId="51699509" w14:textId="77777777" w:rsidTr="00A47B19">
      <w:trPr>
        <w:jc w:val="center"/>
      </w:trPr>
      <w:sdt>
        <w:sdtPr>
          <w:rPr>
            <w:rFonts w:ascii="Tahoma" w:hAnsi="Tahoma" w:cs="Tahoma"/>
            <w:caps/>
            <w:color w:val="808080"/>
            <w:sz w:val="18"/>
            <w:szCs w:val="18"/>
            <w:lang w:val="en-US"/>
          </w:rPr>
          <w:alias w:val="Author"/>
          <w:tag w:val=""/>
          <w:id w:val="162604104"/>
          <w:placeholder>
            <w:docPart w:val="F8C64A9800D0422085EDA2283C482DCF"/>
          </w:placeholder>
          <w:dataBinding w:prefixMappings="xmlns:ns0='http://purl.org/dc/elements/1.1/' xmlns:ns1='http://schemas.openxmlformats.org/package/2006/metadata/core-properties' " w:xpath="/ns1:coreProperties[1]/ns0:creator[1]" w:storeItemID="{6C3C8BC8-F283-45AE-878A-BAB7291924A1}"/>
          <w:text/>
        </w:sdtPr>
        <w:sdtEndPr/>
        <w:sdtContent>
          <w:tc>
            <w:tcPr>
              <w:tcW w:w="6521" w:type="dxa"/>
              <w:gridSpan w:val="2"/>
              <w:shd w:val="clear" w:color="auto" w:fill="auto"/>
              <w:vAlign w:val="center"/>
            </w:tcPr>
            <w:p w14:paraId="1649DE3B" w14:textId="089EAC47" w:rsidR="007545E5" w:rsidRPr="00CA4A92" w:rsidRDefault="00A47B19" w:rsidP="00D602AF">
              <w:pPr>
                <w:pStyle w:val="Footer"/>
                <w:tabs>
                  <w:tab w:val="clear" w:pos="4680"/>
                  <w:tab w:val="clear" w:pos="9360"/>
                </w:tabs>
                <w:rPr>
                  <w:rFonts w:ascii="Tahoma" w:hAnsi="Tahoma" w:cs="Tahoma"/>
                  <w:caps/>
                  <w:color w:val="808080" w:themeColor="background1" w:themeShade="80"/>
                  <w:sz w:val="18"/>
                  <w:szCs w:val="18"/>
                </w:rPr>
              </w:pPr>
              <w:r w:rsidRPr="00A47B19">
                <w:rPr>
                  <w:rFonts w:ascii="Tahoma" w:hAnsi="Tahoma" w:cs="Tahoma"/>
                  <w:caps/>
                  <w:color w:val="808080"/>
                  <w:sz w:val="18"/>
                  <w:szCs w:val="18"/>
                  <w:lang w:val="en-US"/>
                </w:rPr>
                <w:t xml:space="preserve">EXECUTION OF THE GENERAL GOVERNMENT BUDGET | 31 </w:t>
              </w:r>
              <w:r>
                <w:rPr>
                  <w:rFonts w:ascii="Tahoma" w:hAnsi="Tahoma" w:cs="Tahoma"/>
                  <w:caps/>
                  <w:color w:val="808080"/>
                  <w:sz w:val="18"/>
                  <w:szCs w:val="18"/>
                  <w:lang w:val="en-US"/>
                </w:rPr>
                <w:t>MAY</w:t>
              </w:r>
              <w:r w:rsidRPr="00A47B19">
                <w:rPr>
                  <w:rFonts w:ascii="Tahoma" w:hAnsi="Tahoma" w:cs="Tahoma"/>
                  <w:caps/>
                  <w:color w:val="808080"/>
                  <w:sz w:val="18"/>
                  <w:szCs w:val="18"/>
                  <w:lang w:val="en-US"/>
                </w:rPr>
                <w:t xml:space="preserve"> 2020</w:t>
              </w:r>
            </w:p>
          </w:tc>
        </w:sdtContent>
      </w:sdt>
      <w:tc>
        <w:tcPr>
          <w:tcW w:w="3289" w:type="dxa"/>
          <w:shd w:val="clear" w:color="auto" w:fill="auto"/>
          <w:vAlign w:val="center"/>
        </w:tcPr>
        <w:p w14:paraId="2ADF3E66" w14:textId="56EEB56B" w:rsidR="007545E5" w:rsidRPr="00CA4A92" w:rsidRDefault="007545E5" w:rsidP="00231361">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E6274">
            <w:rPr>
              <w:rFonts w:ascii="Tahoma" w:hAnsi="Tahoma" w:cs="Tahoma"/>
              <w:caps/>
              <w:noProof/>
              <w:color w:val="808080" w:themeColor="background1" w:themeShade="80"/>
              <w:sz w:val="18"/>
              <w:szCs w:val="18"/>
            </w:rPr>
            <w:t>1</w:t>
          </w:r>
          <w:r w:rsidRPr="00CA4A92">
            <w:rPr>
              <w:rFonts w:ascii="Tahoma" w:hAnsi="Tahoma" w:cs="Tahoma"/>
              <w:caps/>
              <w:noProof/>
              <w:color w:val="808080" w:themeColor="background1" w:themeShade="80"/>
              <w:sz w:val="18"/>
              <w:szCs w:val="18"/>
            </w:rPr>
            <w:fldChar w:fldCharType="end"/>
          </w:r>
        </w:p>
      </w:tc>
    </w:tr>
  </w:tbl>
  <w:p w14:paraId="5A876D22" w14:textId="77777777" w:rsidR="007545E5" w:rsidRDefault="007545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737" w:type="pct"/>
      <w:tblInd w:w="-1166" w:type="dxa"/>
      <w:tblCellMar>
        <w:top w:w="144" w:type="dxa"/>
        <w:left w:w="115" w:type="dxa"/>
        <w:bottom w:w="144" w:type="dxa"/>
        <w:right w:w="115" w:type="dxa"/>
      </w:tblCellMar>
      <w:tblLook w:val="04A0" w:firstRow="1" w:lastRow="0" w:firstColumn="1" w:lastColumn="0" w:noHBand="0" w:noVBand="1"/>
    </w:tblPr>
    <w:tblGrid>
      <w:gridCol w:w="10049"/>
      <w:gridCol w:w="7780"/>
    </w:tblGrid>
    <w:tr w:rsidR="007545E5" w14:paraId="53003AF3" w14:textId="77777777" w:rsidTr="00E0129F">
      <w:trPr>
        <w:trHeight w:hRule="exact" w:val="115"/>
      </w:trPr>
      <w:tc>
        <w:tcPr>
          <w:tcW w:w="7458" w:type="dxa"/>
          <w:shd w:val="clear" w:color="auto" w:fill="5B9BD5" w:themeFill="accent1"/>
          <w:tcMar>
            <w:top w:w="0" w:type="dxa"/>
            <w:bottom w:w="0" w:type="dxa"/>
          </w:tcMar>
        </w:tcPr>
        <w:p w14:paraId="7FF06A56" w14:textId="77777777" w:rsidR="007545E5" w:rsidRDefault="007545E5" w:rsidP="00E0129F">
          <w:pPr>
            <w:pStyle w:val="Header"/>
            <w:tabs>
              <w:tab w:val="clear" w:pos="4680"/>
              <w:tab w:val="clear" w:pos="9360"/>
            </w:tabs>
            <w:ind w:left="963"/>
            <w:rPr>
              <w:caps/>
              <w:sz w:val="18"/>
            </w:rPr>
          </w:pPr>
        </w:p>
      </w:tc>
      <w:tc>
        <w:tcPr>
          <w:tcW w:w="5774" w:type="dxa"/>
          <w:shd w:val="clear" w:color="auto" w:fill="5B9BD5" w:themeFill="accent1"/>
          <w:tcMar>
            <w:top w:w="0" w:type="dxa"/>
            <w:bottom w:w="0" w:type="dxa"/>
          </w:tcMar>
        </w:tcPr>
        <w:p w14:paraId="452C63DF" w14:textId="77777777" w:rsidR="007545E5" w:rsidRDefault="007545E5" w:rsidP="00231361">
          <w:pPr>
            <w:pStyle w:val="Header"/>
            <w:tabs>
              <w:tab w:val="clear" w:pos="4680"/>
              <w:tab w:val="clear" w:pos="9360"/>
            </w:tabs>
            <w:jc w:val="right"/>
            <w:rPr>
              <w:caps/>
              <w:sz w:val="18"/>
            </w:rPr>
          </w:pPr>
        </w:p>
      </w:tc>
    </w:tr>
    <w:tr w:rsidR="007545E5" w14:paraId="090AF46E" w14:textId="77777777" w:rsidTr="00E0129F">
      <w:trPr>
        <w:trHeight w:hRule="exact" w:val="115"/>
      </w:trPr>
      <w:tc>
        <w:tcPr>
          <w:tcW w:w="7458" w:type="dxa"/>
          <w:shd w:val="clear" w:color="auto" w:fill="5B9BD5" w:themeFill="accent1"/>
          <w:tcMar>
            <w:top w:w="0" w:type="dxa"/>
            <w:bottom w:w="0" w:type="dxa"/>
          </w:tcMar>
        </w:tcPr>
        <w:p w14:paraId="4AE26D6B" w14:textId="77777777" w:rsidR="007545E5" w:rsidRDefault="007545E5" w:rsidP="00231361">
          <w:pPr>
            <w:pStyle w:val="Header"/>
            <w:tabs>
              <w:tab w:val="clear" w:pos="4680"/>
              <w:tab w:val="clear" w:pos="9360"/>
            </w:tabs>
            <w:rPr>
              <w:caps/>
              <w:sz w:val="18"/>
            </w:rPr>
          </w:pPr>
        </w:p>
      </w:tc>
      <w:tc>
        <w:tcPr>
          <w:tcW w:w="5774" w:type="dxa"/>
          <w:shd w:val="clear" w:color="auto" w:fill="5B9BD5" w:themeFill="accent1"/>
          <w:tcMar>
            <w:top w:w="0" w:type="dxa"/>
            <w:bottom w:w="0" w:type="dxa"/>
          </w:tcMar>
        </w:tcPr>
        <w:p w14:paraId="6B8C8659" w14:textId="77777777" w:rsidR="007545E5" w:rsidRDefault="007545E5" w:rsidP="00231361">
          <w:pPr>
            <w:pStyle w:val="Header"/>
            <w:tabs>
              <w:tab w:val="clear" w:pos="4680"/>
              <w:tab w:val="clear" w:pos="9360"/>
            </w:tabs>
            <w:jc w:val="right"/>
            <w:rPr>
              <w:caps/>
              <w:sz w:val="18"/>
            </w:rPr>
          </w:pPr>
        </w:p>
      </w:tc>
    </w:tr>
    <w:tr w:rsidR="007545E5" w14:paraId="02C2FEAF" w14:textId="77777777" w:rsidTr="00E0129F">
      <w:sdt>
        <w:sdtPr>
          <w:rPr>
            <w:rFonts w:ascii="Tahoma" w:hAnsi="Tahoma" w:cs="Tahoma"/>
            <w:caps/>
            <w:color w:val="808080" w:themeColor="background1" w:themeShade="80"/>
            <w:sz w:val="18"/>
            <w:szCs w:val="18"/>
          </w:rPr>
          <w:alias w:val="Author"/>
          <w:tag w:val=""/>
          <w:id w:val="-1424717246"/>
          <w:placeholder>
            <w:docPart w:val="84CE931F8A71412FA6125F328FFFE8CA"/>
          </w:placeholder>
          <w:dataBinding w:prefixMappings="xmlns:ns0='http://purl.org/dc/elements/1.1/' xmlns:ns1='http://schemas.openxmlformats.org/package/2006/metadata/core-properties' " w:xpath="/ns1:coreProperties[1]/ns0:creator[1]" w:storeItemID="{6C3C8BC8-F283-45AE-878A-BAB7291924A1}"/>
          <w:text/>
        </w:sdtPr>
        <w:sdtEndPr/>
        <w:sdtContent>
          <w:tc>
            <w:tcPr>
              <w:tcW w:w="7458" w:type="dxa"/>
              <w:shd w:val="clear" w:color="auto" w:fill="auto"/>
              <w:vAlign w:val="center"/>
            </w:tcPr>
            <w:p w14:paraId="044FC940" w14:textId="2D15155B" w:rsidR="007545E5" w:rsidRPr="00CA4A92" w:rsidRDefault="00A47B19" w:rsidP="00CC04B4">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EXECUTION OF THE GENERAL GOVERNMENT BUDGET | 31 MAY 2020</w:t>
              </w:r>
            </w:p>
          </w:tc>
        </w:sdtContent>
      </w:sdt>
      <w:tc>
        <w:tcPr>
          <w:tcW w:w="5774" w:type="dxa"/>
          <w:shd w:val="clear" w:color="auto" w:fill="auto"/>
          <w:vAlign w:val="center"/>
        </w:tcPr>
        <w:p w14:paraId="03E852F4" w14:textId="2A75225E" w:rsidR="007545E5" w:rsidRPr="00CA4A92" w:rsidRDefault="007545E5" w:rsidP="00231361">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E6274">
            <w:rPr>
              <w:rFonts w:ascii="Tahoma" w:hAnsi="Tahoma" w:cs="Tahoma"/>
              <w:caps/>
              <w:noProof/>
              <w:color w:val="808080" w:themeColor="background1" w:themeShade="80"/>
              <w:sz w:val="18"/>
              <w:szCs w:val="18"/>
            </w:rPr>
            <w:t>10</w:t>
          </w:r>
          <w:r w:rsidRPr="00CA4A92">
            <w:rPr>
              <w:rFonts w:ascii="Tahoma" w:hAnsi="Tahoma" w:cs="Tahoma"/>
              <w:caps/>
              <w:noProof/>
              <w:color w:val="808080" w:themeColor="background1" w:themeShade="80"/>
              <w:sz w:val="18"/>
              <w:szCs w:val="18"/>
            </w:rPr>
            <w:fldChar w:fldCharType="end"/>
          </w:r>
        </w:p>
      </w:tc>
    </w:tr>
  </w:tbl>
  <w:p w14:paraId="0DB14137" w14:textId="77777777" w:rsidR="007545E5" w:rsidRDefault="007545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737" w:type="pct"/>
      <w:tblInd w:w="-1166" w:type="dxa"/>
      <w:tblCellMar>
        <w:top w:w="144" w:type="dxa"/>
        <w:left w:w="115" w:type="dxa"/>
        <w:bottom w:w="144" w:type="dxa"/>
        <w:right w:w="115" w:type="dxa"/>
      </w:tblCellMar>
      <w:tblLook w:val="04A0" w:firstRow="1" w:lastRow="0" w:firstColumn="1" w:lastColumn="0" w:noHBand="0" w:noVBand="1"/>
    </w:tblPr>
    <w:tblGrid>
      <w:gridCol w:w="7459"/>
      <w:gridCol w:w="5774"/>
    </w:tblGrid>
    <w:tr w:rsidR="00231361" w14:paraId="29B5977A" w14:textId="77777777" w:rsidTr="00E0129F">
      <w:trPr>
        <w:trHeight w:hRule="exact" w:val="115"/>
      </w:trPr>
      <w:tc>
        <w:tcPr>
          <w:tcW w:w="7458" w:type="dxa"/>
          <w:shd w:val="clear" w:color="auto" w:fill="5B9BD5" w:themeFill="accent1"/>
          <w:tcMar>
            <w:top w:w="0" w:type="dxa"/>
            <w:bottom w:w="0" w:type="dxa"/>
          </w:tcMar>
        </w:tcPr>
        <w:p w14:paraId="290EA161" w14:textId="77777777" w:rsidR="00231361" w:rsidRDefault="00231361" w:rsidP="00E0129F">
          <w:pPr>
            <w:pStyle w:val="Header"/>
            <w:tabs>
              <w:tab w:val="clear" w:pos="4680"/>
              <w:tab w:val="clear" w:pos="9360"/>
            </w:tabs>
            <w:ind w:left="963"/>
            <w:rPr>
              <w:caps/>
              <w:sz w:val="18"/>
            </w:rPr>
          </w:pPr>
        </w:p>
      </w:tc>
      <w:tc>
        <w:tcPr>
          <w:tcW w:w="5774" w:type="dxa"/>
          <w:shd w:val="clear" w:color="auto" w:fill="5B9BD5" w:themeFill="accent1"/>
          <w:tcMar>
            <w:top w:w="0" w:type="dxa"/>
            <w:bottom w:w="0" w:type="dxa"/>
          </w:tcMar>
        </w:tcPr>
        <w:p w14:paraId="3151C9C0" w14:textId="77777777" w:rsidR="00231361" w:rsidRDefault="00231361" w:rsidP="00231361">
          <w:pPr>
            <w:pStyle w:val="Header"/>
            <w:tabs>
              <w:tab w:val="clear" w:pos="4680"/>
              <w:tab w:val="clear" w:pos="9360"/>
            </w:tabs>
            <w:jc w:val="right"/>
            <w:rPr>
              <w:caps/>
              <w:sz w:val="18"/>
            </w:rPr>
          </w:pPr>
        </w:p>
      </w:tc>
    </w:tr>
    <w:tr w:rsidR="00231361" w14:paraId="0A999712" w14:textId="77777777" w:rsidTr="00E0129F">
      <w:trPr>
        <w:trHeight w:hRule="exact" w:val="115"/>
      </w:trPr>
      <w:tc>
        <w:tcPr>
          <w:tcW w:w="7458" w:type="dxa"/>
          <w:shd w:val="clear" w:color="auto" w:fill="5B9BD5" w:themeFill="accent1"/>
          <w:tcMar>
            <w:top w:w="0" w:type="dxa"/>
            <w:bottom w:w="0" w:type="dxa"/>
          </w:tcMar>
        </w:tcPr>
        <w:p w14:paraId="3680FD29" w14:textId="77777777" w:rsidR="00231361" w:rsidRDefault="00231361" w:rsidP="00231361">
          <w:pPr>
            <w:pStyle w:val="Header"/>
            <w:tabs>
              <w:tab w:val="clear" w:pos="4680"/>
              <w:tab w:val="clear" w:pos="9360"/>
            </w:tabs>
            <w:rPr>
              <w:caps/>
              <w:sz w:val="18"/>
            </w:rPr>
          </w:pPr>
        </w:p>
      </w:tc>
      <w:tc>
        <w:tcPr>
          <w:tcW w:w="5774" w:type="dxa"/>
          <w:shd w:val="clear" w:color="auto" w:fill="5B9BD5" w:themeFill="accent1"/>
          <w:tcMar>
            <w:top w:w="0" w:type="dxa"/>
            <w:bottom w:w="0" w:type="dxa"/>
          </w:tcMar>
        </w:tcPr>
        <w:p w14:paraId="0D7CDF92" w14:textId="77777777" w:rsidR="00231361" w:rsidRDefault="00231361" w:rsidP="00231361">
          <w:pPr>
            <w:pStyle w:val="Header"/>
            <w:tabs>
              <w:tab w:val="clear" w:pos="4680"/>
              <w:tab w:val="clear" w:pos="9360"/>
            </w:tabs>
            <w:jc w:val="right"/>
            <w:rPr>
              <w:caps/>
              <w:sz w:val="18"/>
            </w:rPr>
          </w:pPr>
        </w:p>
      </w:tc>
    </w:tr>
    <w:tr w:rsidR="00231361" w14:paraId="078E6FF7" w14:textId="77777777" w:rsidTr="00E0129F">
      <w:sdt>
        <w:sdtPr>
          <w:rPr>
            <w:rFonts w:ascii="Tahoma" w:hAnsi="Tahoma" w:cs="Tahoma"/>
            <w:caps/>
            <w:color w:val="808080" w:themeColor="background1" w:themeShade="80"/>
            <w:sz w:val="18"/>
            <w:szCs w:val="18"/>
          </w:rPr>
          <w:alias w:val="Author"/>
          <w:tag w:val=""/>
          <w:id w:val="745539962"/>
          <w:placeholder>
            <w:docPart w:val="84CE931F8A71412FA6125F328FFFE8CA"/>
          </w:placeholder>
          <w:dataBinding w:prefixMappings="xmlns:ns0='http://purl.org/dc/elements/1.1/' xmlns:ns1='http://schemas.openxmlformats.org/package/2006/metadata/core-properties' " w:xpath="/ns1:coreProperties[1]/ns0:creator[1]" w:storeItemID="{6C3C8BC8-F283-45AE-878A-BAB7291924A1}"/>
          <w:text/>
        </w:sdtPr>
        <w:sdtEndPr/>
        <w:sdtContent>
          <w:tc>
            <w:tcPr>
              <w:tcW w:w="7458" w:type="dxa"/>
              <w:shd w:val="clear" w:color="auto" w:fill="auto"/>
              <w:vAlign w:val="center"/>
            </w:tcPr>
            <w:p w14:paraId="41453567" w14:textId="7FE39926" w:rsidR="00231361" w:rsidRPr="00CA4A92" w:rsidRDefault="00A47B19" w:rsidP="000E0456">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EXECUTION OF THE GENERAL GOVERNMENT BUDGET | 31 MAY 2020</w:t>
              </w:r>
            </w:p>
          </w:tc>
        </w:sdtContent>
      </w:sdt>
      <w:tc>
        <w:tcPr>
          <w:tcW w:w="5774" w:type="dxa"/>
          <w:shd w:val="clear" w:color="auto" w:fill="auto"/>
          <w:vAlign w:val="center"/>
        </w:tcPr>
        <w:p w14:paraId="171E7C2C" w14:textId="18059648" w:rsidR="00231361" w:rsidRPr="00CA4A92" w:rsidRDefault="00515DA7" w:rsidP="00231361">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231361"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8E6274">
            <w:rPr>
              <w:rFonts w:ascii="Tahoma" w:hAnsi="Tahoma" w:cs="Tahoma"/>
              <w:caps/>
              <w:noProof/>
              <w:color w:val="808080" w:themeColor="background1" w:themeShade="80"/>
              <w:sz w:val="18"/>
              <w:szCs w:val="18"/>
            </w:rPr>
            <w:t>12</w:t>
          </w:r>
          <w:r w:rsidRPr="00CA4A92">
            <w:rPr>
              <w:rFonts w:ascii="Tahoma" w:hAnsi="Tahoma" w:cs="Tahoma"/>
              <w:caps/>
              <w:noProof/>
              <w:color w:val="808080" w:themeColor="background1" w:themeShade="80"/>
              <w:sz w:val="18"/>
              <w:szCs w:val="18"/>
            </w:rPr>
            <w:fldChar w:fldCharType="end"/>
          </w:r>
        </w:p>
      </w:tc>
    </w:tr>
  </w:tbl>
  <w:p w14:paraId="7E6A113F" w14:textId="77777777" w:rsidR="00231361" w:rsidRDefault="002313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F0CC0" w14:textId="77777777" w:rsidR="00FC581D" w:rsidRDefault="00FC581D" w:rsidP="006704C5">
      <w:pPr>
        <w:spacing w:after="0" w:line="240" w:lineRule="auto"/>
      </w:pPr>
      <w:r>
        <w:separator/>
      </w:r>
    </w:p>
  </w:footnote>
  <w:footnote w:type="continuationSeparator" w:id="0">
    <w:p w14:paraId="434AF037" w14:textId="77777777" w:rsidR="00FC581D" w:rsidRDefault="00FC581D" w:rsidP="006704C5">
      <w:pPr>
        <w:spacing w:after="0" w:line="240" w:lineRule="auto"/>
      </w:pPr>
      <w:r>
        <w:continuationSeparator/>
      </w:r>
    </w:p>
  </w:footnote>
  <w:footnote w:id="1">
    <w:p w14:paraId="2CDD9495" w14:textId="4F50BA25" w:rsidR="00EB2CA5" w:rsidRPr="00EB2CA5" w:rsidRDefault="00EB2CA5" w:rsidP="00D40DFC">
      <w:pPr>
        <w:pStyle w:val="FootnoteText"/>
        <w:jc w:val="both"/>
        <w:rPr>
          <w:lang w:val="en-GB"/>
        </w:rPr>
      </w:pPr>
      <w:r w:rsidRPr="00EB2CA5">
        <w:rPr>
          <w:rStyle w:val="FootnoteReference"/>
          <w:lang w:val="en-GB"/>
        </w:rPr>
        <w:footnoteRef/>
      </w:r>
      <w:r w:rsidRPr="00EB2CA5">
        <w:rPr>
          <w:lang w:val="en-GB"/>
        </w:rPr>
        <w:t xml:space="preserve"> </w:t>
      </w:r>
      <w:r w:rsidRPr="00D40DFC">
        <w:rPr>
          <w:rFonts w:ascii="Tahoma" w:hAnsi="Tahoma" w:cs="Tahoma"/>
          <w:lang w:val="en-GB"/>
        </w:rPr>
        <w:t>Fiscal facility granted through GEO no. 29/2020 regarding certain economic and fiscal measures to support private companies.</w:t>
      </w:r>
    </w:p>
  </w:footnote>
  <w:footnote w:id="2">
    <w:p w14:paraId="1F087055" w14:textId="390D706F" w:rsidR="00601653" w:rsidRPr="00EB2CA5" w:rsidRDefault="00601653" w:rsidP="00601653">
      <w:pPr>
        <w:pStyle w:val="FootnoteText"/>
        <w:rPr>
          <w:lang w:val="en-GB"/>
        </w:rPr>
      </w:pPr>
      <w:r w:rsidRPr="00EB2CA5">
        <w:rPr>
          <w:rStyle w:val="FootnoteReference"/>
          <w:lang w:val="en-GB"/>
        </w:rPr>
        <w:footnoteRef/>
      </w:r>
      <w:r w:rsidRPr="00EB2CA5">
        <w:rPr>
          <w:lang w:val="en-GB"/>
        </w:rPr>
        <w:t xml:space="preserve"> </w:t>
      </w:r>
      <w:r w:rsidRPr="00D40DFC">
        <w:rPr>
          <w:rFonts w:ascii="Tahoma" w:hAnsi="Tahoma" w:cs="Tahoma"/>
          <w:lang w:val="en-GB"/>
        </w:rPr>
        <w:t xml:space="preserve">GEO no. 30/2020, </w:t>
      </w:r>
      <w:r w:rsidR="0028576F" w:rsidRPr="00D40DFC">
        <w:rPr>
          <w:rFonts w:ascii="Tahoma" w:hAnsi="Tahoma" w:cs="Tahoma"/>
          <w:lang w:val="en-GB"/>
        </w:rPr>
        <w:t>amended by</w:t>
      </w:r>
      <w:r w:rsidRPr="00D40DFC">
        <w:rPr>
          <w:rFonts w:ascii="Tahoma" w:hAnsi="Tahoma" w:cs="Tahoma"/>
          <w:lang w:val="en-GB"/>
        </w:rPr>
        <w:t xml:space="preserve"> </w:t>
      </w:r>
      <w:r w:rsidR="0095277F" w:rsidRPr="00D40DFC">
        <w:rPr>
          <w:rFonts w:ascii="Tahoma" w:hAnsi="Tahoma" w:cs="Tahoma"/>
          <w:lang w:val="en-GB"/>
        </w:rPr>
        <w:t>GEO</w:t>
      </w:r>
      <w:r w:rsidRPr="00D40DFC">
        <w:rPr>
          <w:rFonts w:ascii="Tahoma" w:hAnsi="Tahoma" w:cs="Tahoma"/>
          <w:lang w:val="en-GB"/>
        </w:rPr>
        <w:t xml:space="preserve"> n</w:t>
      </w:r>
      <w:r w:rsidR="0095277F" w:rsidRPr="00D40DFC">
        <w:rPr>
          <w:rFonts w:ascii="Tahoma" w:hAnsi="Tahoma" w:cs="Tahoma"/>
          <w:lang w:val="en-GB"/>
        </w:rPr>
        <w:t>o</w:t>
      </w:r>
      <w:r w:rsidRPr="00D40DFC">
        <w:rPr>
          <w:rFonts w:ascii="Tahoma" w:hAnsi="Tahoma" w:cs="Tahoma"/>
          <w:lang w:val="en-GB"/>
        </w:rPr>
        <w:t>. 32/2020</w:t>
      </w:r>
    </w:p>
  </w:footnote>
  <w:footnote w:id="3">
    <w:p w14:paraId="36D7ED25" w14:textId="2C80E9E6" w:rsidR="00F62A47" w:rsidRPr="00EB2CA5" w:rsidRDefault="00F62A47" w:rsidP="00F62A47">
      <w:pPr>
        <w:pStyle w:val="FootnoteText"/>
        <w:rPr>
          <w:i/>
          <w:lang w:val="en-GB"/>
        </w:rPr>
      </w:pPr>
      <w:r w:rsidRPr="00EB2CA5">
        <w:rPr>
          <w:rStyle w:val="FootnoteReference"/>
          <w:lang w:val="en-GB"/>
        </w:rPr>
        <w:footnoteRef/>
      </w:r>
      <w:r w:rsidRPr="00EB2CA5">
        <w:rPr>
          <w:lang w:val="en-GB"/>
        </w:rPr>
        <w:t xml:space="preserve"> </w:t>
      </w:r>
      <w:r w:rsidR="00DE69EC" w:rsidRPr="00D40DFC">
        <w:rPr>
          <w:rFonts w:ascii="Tahoma" w:hAnsi="Tahoma" w:cs="Tahoma"/>
          <w:lang w:val="en-GB"/>
        </w:rPr>
        <w:t xml:space="preserve">Taxes on micro-enterprises revenues represent </w:t>
      </w:r>
      <w:r w:rsidR="00017B85">
        <w:rPr>
          <w:rFonts w:ascii="Tahoma" w:hAnsi="Tahoma" w:cs="Tahoma"/>
          <w:lang w:val="en-GB"/>
        </w:rPr>
        <w:t>~</w:t>
      </w:r>
      <w:r w:rsidR="00DE69EC" w:rsidRPr="00D40DFC">
        <w:rPr>
          <w:rFonts w:ascii="Tahoma" w:hAnsi="Tahoma" w:cs="Tahoma"/>
          <w:lang w:val="en-GB"/>
        </w:rPr>
        <w:t xml:space="preserve">99% of </w:t>
      </w:r>
      <w:r w:rsidR="005D5B71" w:rsidRPr="00D40DFC">
        <w:rPr>
          <w:rFonts w:ascii="Tahoma" w:hAnsi="Tahoma" w:cs="Tahoma"/>
          <w:lang w:val="en-GB"/>
        </w:rPr>
        <w:t xml:space="preserve">the category </w:t>
      </w:r>
      <w:r w:rsidR="005D5B71" w:rsidRPr="00D40DFC">
        <w:rPr>
          <w:rFonts w:ascii="Tahoma" w:hAnsi="Tahoma" w:cs="Tahoma"/>
          <w:i/>
          <w:lang w:val="en-GB"/>
        </w:rPr>
        <w:t>other taxes on income, profit and capital gains from juridical persons</w:t>
      </w:r>
      <w:r w:rsidR="00D40DFC">
        <w:rPr>
          <w:rFonts w:ascii="Tahoma" w:hAnsi="Tahoma" w:cs="Tahoma"/>
          <w:i/>
          <w:lang w:val="en-GB"/>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B1D8C"/>
    <w:multiLevelType w:val="hybridMultilevel"/>
    <w:tmpl w:val="DEDAE322"/>
    <w:lvl w:ilvl="0" w:tplc="18F0F192">
      <w:start w:val="1"/>
      <w:numFmt w:val="upperRoman"/>
      <w:lvlText w:val="%1."/>
      <w:lvlJc w:val="left"/>
      <w:pPr>
        <w:ind w:left="1080" w:hanging="720"/>
      </w:pPr>
      <w:rPr>
        <w:rFonts w:hint="default"/>
        <w:b/>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11138"/>
    <w:rsid w:val="0001133C"/>
    <w:rsid w:val="000123DE"/>
    <w:rsid w:val="00012C3B"/>
    <w:rsid w:val="000141BF"/>
    <w:rsid w:val="00016F63"/>
    <w:rsid w:val="00017361"/>
    <w:rsid w:val="00017B85"/>
    <w:rsid w:val="00020D5F"/>
    <w:rsid w:val="00021A0D"/>
    <w:rsid w:val="00021A38"/>
    <w:rsid w:val="00023578"/>
    <w:rsid w:val="000248D3"/>
    <w:rsid w:val="00026DEC"/>
    <w:rsid w:val="000272BD"/>
    <w:rsid w:val="000324A0"/>
    <w:rsid w:val="00032A05"/>
    <w:rsid w:val="00040EA9"/>
    <w:rsid w:val="00041D0D"/>
    <w:rsid w:val="000434BF"/>
    <w:rsid w:val="00044A14"/>
    <w:rsid w:val="00052351"/>
    <w:rsid w:val="00054E9E"/>
    <w:rsid w:val="000557D4"/>
    <w:rsid w:val="00056BE3"/>
    <w:rsid w:val="000573AD"/>
    <w:rsid w:val="0005779D"/>
    <w:rsid w:val="00061787"/>
    <w:rsid w:val="00062A56"/>
    <w:rsid w:val="0007251C"/>
    <w:rsid w:val="00076E23"/>
    <w:rsid w:val="00082576"/>
    <w:rsid w:val="0008264F"/>
    <w:rsid w:val="000842A5"/>
    <w:rsid w:val="0008642C"/>
    <w:rsid w:val="000912B5"/>
    <w:rsid w:val="000916B5"/>
    <w:rsid w:val="000923D7"/>
    <w:rsid w:val="000942F8"/>
    <w:rsid w:val="000951A2"/>
    <w:rsid w:val="00095242"/>
    <w:rsid w:val="000A2574"/>
    <w:rsid w:val="000A25FA"/>
    <w:rsid w:val="000A3B0F"/>
    <w:rsid w:val="000A4203"/>
    <w:rsid w:val="000A62E1"/>
    <w:rsid w:val="000A7436"/>
    <w:rsid w:val="000B4031"/>
    <w:rsid w:val="000B579B"/>
    <w:rsid w:val="000B633B"/>
    <w:rsid w:val="000B6D8F"/>
    <w:rsid w:val="000C30DF"/>
    <w:rsid w:val="000C5478"/>
    <w:rsid w:val="000C5D9D"/>
    <w:rsid w:val="000C7AF8"/>
    <w:rsid w:val="000D2B64"/>
    <w:rsid w:val="000D5417"/>
    <w:rsid w:val="000D6179"/>
    <w:rsid w:val="000D653B"/>
    <w:rsid w:val="000D6F9B"/>
    <w:rsid w:val="000D7561"/>
    <w:rsid w:val="000E0456"/>
    <w:rsid w:val="000F0A63"/>
    <w:rsid w:val="000F10A9"/>
    <w:rsid w:val="000F1E3F"/>
    <w:rsid w:val="000F48B4"/>
    <w:rsid w:val="000F5F4E"/>
    <w:rsid w:val="000F62DB"/>
    <w:rsid w:val="001005D0"/>
    <w:rsid w:val="00103BDE"/>
    <w:rsid w:val="00104FEE"/>
    <w:rsid w:val="00106F7A"/>
    <w:rsid w:val="00107875"/>
    <w:rsid w:val="0011031C"/>
    <w:rsid w:val="00110F44"/>
    <w:rsid w:val="00116648"/>
    <w:rsid w:val="00122DF5"/>
    <w:rsid w:val="001236DE"/>
    <w:rsid w:val="00125818"/>
    <w:rsid w:val="0012591D"/>
    <w:rsid w:val="00141717"/>
    <w:rsid w:val="00142FC5"/>
    <w:rsid w:val="001506F4"/>
    <w:rsid w:val="00153418"/>
    <w:rsid w:val="001535C1"/>
    <w:rsid w:val="00155AFB"/>
    <w:rsid w:val="00156388"/>
    <w:rsid w:val="00161F59"/>
    <w:rsid w:val="00163874"/>
    <w:rsid w:val="001648BC"/>
    <w:rsid w:val="00170657"/>
    <w:rsid w:val="001707DC"/>
    <w:rsid w:val="00175AD6"/>
    <w:rsid w:val="0017667A"/>
    <w:rsid w:val="0018055E"/>
    <w:rsid w:val="00180AC2"/>
    <w:rsid w:val="00180BFF"/>
    <w:rsid w:val="00182B0D"/>
    <w:rsid w:val="001915F6"/>
    <w:rsid w:val="00191CC0"/>
    <w:rsid w:val="001A174E"/>
    <w:rsid w:val="001A1D91"/>
    <w:rsid w:val="001A2254"/>
    <w:rsid w:val="001A784E"/>
    <w:rsid w:val="001B1E6F"/>
    <w:rsid w:val="001B20A6"/>
    <w:rsid w:val="001B60DA"/>
    <w:rsid w:val="001B70D2"/>
    <w:rsid w:val="001C2E18"/>
    <w:rsid w:val="001C52B3"/>
    <w:rsid w:val="001D03AF"/>
    <w:rsid w:val="001D06A7"/>
    <w:rsid w:val="001D1DC7"/>
    <w:rsid w:val="001D22B3"/>
    <w:rsid w:val="001D29DC"/>
    <w:rsid w:val="001D44C7"/>
    <w:rsid w:val="001D45FB"/>
    <w:rsid w:val="001D65FC"/>
    <w:rsid w:val="001D6927"/>
    <w:rsid w:val="001E043E"/>
    <w:rsid w:val="001E4EAE"/>
    <w:rsid w:val="001E5AB6"/>
    <w:rsid w:val="001E6762"/>
    <w:rsid w:val="001F14B9"/>
    <w:rsid w:val="001F1E8A"/>
    <w:rsid w:val="001F36DD"/>
    <w:rsid w:val="001F3D9F"/>
    <w:rsid w:val="001F6AFC"/>
    <w:rsid w:val="001F7BB5"/>
    <w:rsid w:val="00202269"/>
    <w:rsid w:val="00203FF7"/>
    <w:rsid w:val="0020593A"/>
    <w:rsid w:val="00206989"/>
    <w:rsid w:val="00207E04"/>
    <w:rsid w:val="00210FCE"/>
    <w:rsid w:val="002122C3"/>
    <w:rsid w:val="00212F98"/>
    <w:rsid w:val="00214764"/>
    <w:rsid w:val="0021747D"/>
    <w:rsid w:val="00217F5C"/>
    <w:rsid w:val="002200B1"/>
    <w:rsid w:val="00220A5A"/>
    <w:rsid w:val="00223065"/>
    <w:rsid w:val="00225829"/>
    <w:rsid w:val="0022634D"/>
    <w:rsid w:val="00231361"/>
    <w:rsid w:val="00231AE5"/>
    <w:rsid w:val="00232E16"/>
    <w:rsid w:val="0023449A"/>
    <w:rsid w:val="002374EA"/>
    <w:rsid w:val="00237850"/>
    <w:rsid w:val="00241CAA"/>
    <w:rsid w:val="00244ACB"/>
    <w:rsid w:val="0025301D"/>
    <w:rsid w:val="00253FAE"/>
    <w:rsid w:val="00256949"/>
    <w:rsid w:val="002677EB"/>
    <w:rsid w:val="00267D26"/>
    <w:rsid w:val="00272B9B"/>
    <w:rsid w:val="00272FF7"/>
    <w:rsid w:val="00273697"/>
    <w:rsid w:val="002744A9"/>
    <w:rsid w:val="00274B69"/>
    <w:rsid w:val="00274F7D"/>
    <w:rsid w:val="0027740A"/>
    <w:rsid w:val="00277C9A"/>
    <w:rsid w:val="00283023"/>
    <w:rsid w:val="0028576F"/>
    <w:rsid w:val="002904A5"/>
    <w:rsid w:val="002914A1"/>
    <w:rsid w:val="002915B1"/>
    <w:rsid w:val="0029776C"/>
    <w:rsid w:val="002A7F1B"/>
    <w:rsid w:val="002B01DC"/>
    <w:rsid w:val="002B0F64"/>
    <w:rsid w:val="002B3CC9"/>
    <w:rsid w:val="002B64BB"/>
    <w:rsid w:val="002C1755"/>
    <w:rsid w:val="002C17E1"/>
    <w:rsid w:val="002C4831"/>
    <w:rsid w:val="002C50FD"/>
    <w:rsid w:val="002C7188"/>
    <w:rsid w:val="002C7C10"/>
    <w:rsid w:val="002D304B"/>
    <w:rsid w:val="002D4811"/>
    <w:rsid w:val="002D6FDE"/>
    <w:rsid w:val="002D7C69"/>
    <w:rsid w:val="002E36A6"/>
    <w:rsid w:val="002E593E"/>
    <w:rsid w:val="002E7628"/>
    <w:rsid w:val="002F44EA"/>
    <w:rsid w:val="002F4790"/>
    <w:rsid w:val="00301A1C"/>
    <w:rsid w:val="00302BA3"/>
    <w:rsid w:val="00303213"/>
    <w:rsid w:val="003078FF"/>
    <w:rsid w:val="003108FF"/>
    <w:rsid w:val="00311431"/>
    <w:rsid w:val="00312539"/>
    <w:rsid w:val="00313230"/>
    <w:rsid w:val="003168A7"/>
    <w:rsid w:val="00322A56"/>
    <w:rsid w:val="00327FA9"/>
    <w:rsid w:val="00335354"/>
    <w:rsid w:val="0033573F"/>
    <w:rsid w:val="00340D1E"/>
    <w:rsid w:val="00344677"/>
    <w:rsid w:val="003477B4"/>
    <w:rsid w:val="00353276"/>
    <w:rsid w:val="003565E1"/>
    <w:rsid w:val="0035662D"/>
    <w:rsid w:val="00356F6A"/>
    <w:rsid w:val="00360906"/>
    <w:rsid w:val="003700C3"/>
    <w:rsid w:val="0037130B"/>
    <w:rsid w:val="00374899"/>
    <w:rsid w:val="00376CD7"/>
    <w:rsid w:val="003773F4"/>
    <w:rsid w:val="003807AB"/>
    <w:rsid w:val="003836BC"/>
    <w:rsid w:val="003914AB"/>
    <w:rsid w:val="00391CC2"/>
    <w:rsid w:val="00392457"/>
    <w:rsid w:val="00392E3D"/>
    <w:rsid w:val="0039710E"/>
    <w:rsid w:val="003A18B2"/>
    <w:rsid w:val="003A5BF2"/>
    <w:rsid w:val="003A6D4C"/>
    <w:rsid w:val="003B3BA7"/>
    <w:rsid w:val="003B44A7"/>
    <w:rsid w:val="003C13E0"/>
    <w:rsid w:val="003C25D1"/>
    <w:rsid w:val="003C28B1"/>
    <w:rsid w:val="003C373A"/>
    <w:rsid w:val="003C663D"/>
    <w:rsid w:val="003D0758"/>
    <w:rsid w:val="003D3389"/>
    <w:rsid w:val="003D71FF"/>
    <w:rsid w:val="003E42FC"/>
    <w:rsid w:val="003E621C"/>
    <w:rsid w:val="003F0AE0"/>
    <w:rsid w:val="003F37F1"/>
    <w:rsid w:val="003F3EA8"/>
    <w:rsid w:val="003F4337"/>
    <w:rsid w:val="003F4E84"/>
    <w:rsid w:val="003F7973"/>
    <w:rsid w:val="00400409"/>
    <w:rsid w:val="004071E1"/>
    <w:rsid w:val="00407EFE"/>
    <w:rsid w:val="00410CD9"/>
    <w:rsid w:val="00410E69"/>
    <w:rsid w:val="004119D0"/>
    <w:rsid w:val="00411D1E"/>
    <w:rsid w:val="0041462F"/>
    <w:rsid w:val="00414D79"/>
    <w:rsid w:val="004159E1"/>
    <w:rsid w:val="00420E61"/>
    <w:rsid w:val="00423CAE"/>
    <w:rsid w:val="004246D1"/>
    <w:rsid w:val="00426972"/>
    <w:rsid w:val="0043013B"/>
    <w:rsid w:val="004320A1"/>
    <w:rsid w:val="00432FF1"/>
    <w:rsid w:val="00434C82"/>
    <w:rsid w:val="00434CBE"/>
    <w:rsid w:val="00435BF5"/>
    <w:rsid w:val="004461DE"/>
    <w:rsid w:val="004462E2"/>
    <w:rsid w:val="00446B46"/>
    <w:rsid w:val="00452843"/>
    <w:rsid w:val="00452ACC"/>
    <w:rsid w:val="004546CE"/>
    <w:rsid w:val="004645F7"/>
    <w:rsid w:val="00467AF9"/>
    <w:rsid w:val="00477AC8"/>
    <w:rsid w:val="00480868"/>
    <w:rsid w:val="0048352B"/>
    <w:rsid w:val="00484DB4"/>
    <w:rsid w:val="0048518E"/>
    <w:rsid w:val="004901E4"/>
    <w:rsid w:val="00493A79"/>
    <w:rsid w:val="004A0A2F"/>
    <w:rsid w:val="004A1E84"/>
    <w:rsid w:val="004A277A"/>
    <w:rsid w:val="004A31C5"/>
    <w:rsid w:val="004B7A33"/>
    <w:rsid w:val="004C373B"/>
    <w:rsid w:val="004C3A0E"/>
    <w:rsid w:val="004C6D1D"/>
    <w:rsid w:val="004C6E65"/>
    <w:rsid w:val="004D1156"/>
    <w:rsid w:val="004D5422"/>
    <w:rsid w:val="004D5DCE"/>
    <w:rsid w:val="004D6936"/>
    <w:rsid w:val="004E0E38"/>
    <w:rsid w:val="004E0EDE"/>
    <w:rsid w:val="004E126B"/>
    <w:rsid w:val="004E13C1"/>
    <w:rsid w:val="004E2A7B"/>
    <w:rsid w:val="004E3BAE"/>
    <w:rsid w:val="004F073C"/>
    <w:rsid w:val="004F0A30"/>
    <w:rsid w:val="004F1EEB"/>
    <w:rsid w:val="004F2959"/>
    <w:rsid w:val="004F5FF3"/>
    <w:rsid w:val="00503F46"/>
    <w:rsid w:val="0050613A"/>
    <w:rsid w:val="00506D31"/>
    <w:rsid w:val="00506ECF"/>
    <w:rsid w:val="005072F2"/>
    <w:rsid w:val="00510AE5"/>
    <w:rsid w:val="00511104"/>
    <w:rsid w:val="00515DA7"/>
    <w:rsid w:val="005233AC"/>
    <w:rsid w:val="0052373B"/>
    <w:rsid w:val="00526E8B"/>
    <w:rsid w:val="00527A5F"/>
    <w:rsid w:val="005316E8"/>
    <w:rsid w:val="00534C64"/>
    <w:rsid w:val="00537114"/>
    <w:rsid w:val="00540649"/>
    <w:rsid w:val="00540F67"/>
    <w:rsid w:val="00544EC1"/>
    <w:rsid w:val="00545771"/>
    <w:rsid w:val="005458DC"/>
    <w:rsid w:val="00547F5F"/>
    <w:rsid w:val="0055305D"/>
    <w:rsid w:val="00560F86"/>
    <w:rsid w:val="005623F6"/>
    <w:rsid w:val="005656AD"/>
    <w:rsid w:val="00565CBB"/>
    <w:rsid w:val="00566CFB"/>
    <w:rsid w:val="00566F32"/>
    <w:rsid w:val="00571B11"/>
    <w:rsid w:val="00571D08"/>
    <w:rsid w:val="00573953"/>
    <w:rsid w:val="005757AC"/>
    <w:rsid w:val="00580776"/>
    <w:rsid w:val="00581AF2"/>
    <w:rsid w:val="005842BD"/>
    <w:rsid w:val="00584B7D"/>
    <w:rsid w:val="0058551F"/>
    <w:rsid w:val="005879EE"/>
    <w:rsid w:val="005922C0"/>
    <w:rsid w:val="005927B9"/>
    <w:rsid w:val="005964AB"/>
    <w:rsid w:val="005A2C17"/>
    <w:rsid w:val="005A37CF"/>
    <w:rsid w:val="005A392C"/>
    <w:rsid w:val="005A3BD1"/>
    <w:rsid w:val="005A4448"/>
    <w:rsid w:val="005A6DC8"/>
    <w:rsid w:val="005B6691"/>
    <w:rsid w:val="005B6B8D"/>
    <w:rsid w:val="005C04F8"/>
    <w:rsid w:val="005C1DD0"/>
    <w:rsid w:val="005C32C7"/>
    <w:rsid w:val="005C6AA5"/>
    <w:rsid w:val="005D07BD"/>
    <w:rsid w:val="005D2B8A"/>
    <w:rsid w:val="005D3A4C"/>
    <w:rsid w:val="005D5B71"/>
    <w:rsid w:val="005E4809"/>
    <w:rsid w:val="005E58C4"/>
    <w:rsid w:val="005E5AB8"/>
    <w:rsid w:val="005E6FD7"/>
    <w:rsid w:val="005F0D77"/>
    <w:rsid w:val="005F3004"/>
    <w:rsid w:val="005F6D93"/>
    <w:rsid w:val="00601653"/>
    <w:rsid w:val="00612CD7"/>
    <w:rsid w:val="00614885"/>
    <w:rsid w:val="006165B6"/>
    <w:rsid w:val="00622AC2"/>
    <w:rsid w:val="00622B86"/>
    <w:rsid w:val="00622EAC"/>
    <w:rsid w:val="00623A5E"/>
    <w:rsid w:val="00625493"/>
    <w:rsid w:val="006254C8"/>
    <w:rsid w:val="006306E1"/>
    <w:rsid w:val="006326E1"/>
    <w:rsid w:val="00633E45"/>
    <w:rsid w:val="0063498C"/>
    <w:rsid w:val="006356B6"/>
    <w:rsid w:val="006364DE"/>
    <w:rsid w:val="0063711C"/>
    <w:rsid w:val="00647575"/>
    <w:rsid w:val="006477A6"/>
    <w:rsid w:val="00647AE3"/>
    <w:rsid w:val="00655DC5"/>
    <w:rsid w:val="00656AC5"/>
    <w:rsid w:val="00657A04"/>
    <w:rsid w:val="00660290"/>
    <w:rsid w:val="00661A38"/>
    <w:rsid w:val="00661C32"/>
    <w:rsid w:val="00663043"/>
    <w:rsid w:val="00663147"/>
    <w:rsid w:val="00666D81"/>
    <w:rsid w:val="00667C1C"/>
    <w:rsid w:val="006704C5"/>
    <w:rsid w:val="00671CB8"/>
    <w:rsid w:val="00672393"/>
    <w:rsid w:val="006730CA"/>
    <w:rsid w:val="00675166"/>
    <w:rsid w:val="00675E23"/>
    <w:rsid w:val="006815B0"/>
    <w:rsid w:val="00682712"/>
    <w:rsid w:val="00682DEE"/>
    <w:rsid w:val="00687362"/>
    <w:rsid w:val="00690810"/>
    <w:rsid w:val="0069273C"/>
    <w:rsid w:val="00692AF8"/>
    <w:rsid w:val="00692B95"/>
    <w:rsid w:val="00692CE7"/>
    <w:rsid w:val="00694A9A"/>
    <w:rsid w:val="00696A35"/>
    <w:rsid w:val="00696BE5"/>
    <w:rsid w:val="006A012D"/>
    <w:rsid w:val="006A0560"/>
    <w:rsid w:val="006A3329"/>
    <w:rsid w:val="006B3457"/>
    <w:rsid w:val="006B50AB"/>
    <w:rsid w:val="006B7E7B"/>
    <w:rsid w:val="006C0750"/>
    <w:rsid w:val="006C0D2A"/>
    <w:rsid w:val="006C1BBF"/>
    <w:rsid w:val="006C31A6"/>
    <w:rsid w:val="006C4171"/>
    <w:rsid w:val="006C76FA"/>
    <w:rsid w:val="006C7DA9"/>
    <w:rsid w:val="006D09BB"/>
    <w:rsid w:val="006E08AF"/>
    <w:rsid w:val="006E2931"/>
    <w:rsid w:val="006E331D"/>
    <w:rsid w:val="006E734C"/>
    <w:rsid w:val="006F1EFD"/>
    <w:rsid w:val="006F25CC"/>
    <w:rsid w:val="006F3F63"/>
    <w:rsid w:val="006F6BF2"/>
    <w:rsid w:val="00703ACE"/>
    <w:rsid w:val="0070453D"/>
    <w:rsid w:val="007108BD"/>
    <w:rsid w:val="007121BE"/>
    <w:rsid w:val="00712417"/>
    <w:rsid w:val="00717788"/>
    <w:rsid w:val="00721CAF"/>
    <w:rsid w:val="0072241B"/>
    <w:rsid w:val="007305D8"/>
    <w:rsid w:val="00730CF9"/>
    <w:rsid w:val="00731902"/>
    <w:rsid w:val="00732C5D"/>
    <w:rsid w:val="00734D13"/>
    <w:rsid w:val="0073637C"/>
    <w:rsid w:val="0073781B"/>
    <w:rsid w:val="00740BCB"/>
    <w:rsid w:val="00740FA8"/>
    <w:rsid w:val="00741961"/>
    <w:rsid w:val="00742502"/>
    <w:rsid w:val="00742F88"/>
    <w:rsid w:val="00743DA1"/>
    <w:rsid w:val="00744377"/>
    <w:rsid w:val="00744E04"/>
    <w:rsid w:val="00746D5E"/>
    <w:rsid w:val="007507EE"/>
    <w:rsid w:val="00751BF9"/>
    <w:rsid w:val="007536F7"/>
    <w:rsid w:val="007545E5"/>
    <w:rsid w:val="00754831"/>
    <w:rsid w:val="00757A42"/>
    <w:rsid w:val="00757D22"/>
    <w:rsid w:val="00764D34"/>
    <w:rsid w:val="00771F9D"/>
    <w:rsid w:val="00775E52"/>
    <w:rsid w:val="00776807"/>
    <w:rsid w:val="00782EB2"/>
    <w:rsid w:val="00784F33"/>
    <w:rsid w:val="00790ED9"/>
    <w:rsid w:val="00791FEB"/>
    <w:rsid w:val="007A0DDC"/>
    <w:rsid w:val="007A23F1"/>
    <w:rsid w:val="007B2789"/>
    <w:rsid w:val="007B3178"/>
    <w:rsid w:val="007B3B55"/>
    <w:rsid w:val="007B4E71"/>
    <w:rsid w:val="007B5527"/>
    <w:rsid w:val="007D0985"/>
    <w:rsid w:val="007D381A"/>
    <w:rsid w:val="007D7142"/>
    <w:rsid w:val="007D76CC"/>
    <w:rsid w:val="007D782E"/>
    <w:rsid w:val="007E2111"/>
    <w:rsid w:val="007E48B7"/>
    <w:rsid w:val="007E6BCA"/>
    <w:rsid w:val="007F440C"/>
    <w:rsid w:val="007F4FE7"/>
    <w:rsid w:val="00800AC8"/>
    <w:rsid w:val="00804263"/>
    <w:rsid w:val="008045BB"/>
    <w:rsid w:val="00804F0D"/>
    <w:rsid w:val="00806C56"/>
    <w:rsid w:val="00807885"/>
    <w:rsid w:val="00811D17"/>
    <w:rsid w:val="00812166"/>
    <w:rsid w:val="008154B0"/>
    <w:rsid w:val="008160DE"/>
    <w:rsid w:val="0082174B"/>
    <w:rsid w:val="00823177"/>
    <w:rsid w:val="008257A9"/>
    <w:rsid w:val="0082791D"/>
    <w:rsid w:val="0083203F"/>
    <w:rsid w:val="008332A4"/>
    <w:rsid w:val="008343FE"/>
    <w:rsid w:val="00834A48"/>
    <w:rsid w:val="0083506A"/>
    <w:rsid w:val="008365AB"/>
    <w:rsid w:val="00845E89"/>
    <w:rsid w:val="00854A05"/>
    <w:rsid w:val="00856530"/>
    <w:rsid w:val="0086613A"/>
    <w:rsid w:val="00876B16"/>
    <w:rsid w:val="00877230"/>
    <w:rsid w:val="00881719"/>
    <w:rsid w:val="00883977"/>
    <w:rsid w:val="00883D82"/>
    <w:rsid w:val="0088400F"/>
    <w:rsid w:val="008841E4"/>
    <w:rsid w:val="00886DFA"/>
    <w:rsid w:val="008928E1"/>
    <w:rsid w:val="00896686"/>
    <w:rsid w:val="008A2ED1"/>
    <w:rsid w:val="008A34D2"/>
    <w:rsid w:val="008A3F97"/>
    <w:rsid w:val="008A6AFE"/>
    <w:rsid w:val="008B1FD4"/>
    <w:rsid w:val="008B44CC"/>
    <w:rsid w:val="008C41D7"/>
    <w:rsid w:val="008D4EFA"/>
    <w:rsid w:val="008D5E65"/>
    <w:rsid w:val="008E2FC1"/>
    <w:rsid w:val="008E39D6"/>
    <w:rsid w:val="008E521D"/>
    <w:rsid w:val="008E6274"/>
    <w:rsid w:val="008F1328"/>
    <w:rsid w:val="008F2886"/>
    <w:rsid w:val="008F53C9"/>
    <w:rsid w:val="008F6106"/>
    <w:rsid w:val="008F636D"/>
    <w:rsid w:val="008F735B"/>
    <w:rsid w:val="009008DE"/>
    <w:rsid w:val="00901CAE"/>
    <w:rsid w:val="0090243B"/>
    <w:rsid w:val="00902BC3"/>
    <w:rsid w:val="00907645"/>
    <w:rsid w:val="00910F23"/>
    <w:rsid w:val="00917E94"/>
    <w:rsid w:val="0092174A"/>
    <w:rsid w:val="00927836"/>
    <w:rsid w:val="00927BA4"/>
    <w:rsid w:val="009300C7"/>
    <w:rsid w:val="0093341F"/>
    <w:rsid w:val="00933946"/>
    <w:rsid w:val="00934745"/>
    <w:rsid w:val="00934D73"/>
    <w:rsid w:val="00935329"/>
    <w:rsid w:val="0093611B"/>
    <w:rsid w:val="00936318"/>
    <w:rsid w:val="009364B1"/>
    <w:rsid w:val="00936B61"/>
    <w:rsid w:val="00943365"/>
    <w:rsid w:val="00943E38"/>
    <w:rsid w:val="00944C2A"/>
    <w:rsid w:val="00951502"/>
    <w:rsid w:val="0095277F"/>
    <w:rsid w:val="00964866"/>
    <w:rsid w:val="00964CBD"/>
    <w:rsid w:val="0096731C"/>
    <w:rsid w:val="009714B3"/>
    <w:rsid w:val="009723DE"/>
    <w:rsid w:val="00973651"/>
    <w:rsid w:val="009746E7"/>
    <w:rsid w:val="00974E99"/>
    <w:rsid w:val="00975E6F"/>
    <w:rsid w:val="00976DAE"/>
    <w:rsid w:val="009775C3"/>
    <w:rsid w:val="009775D6"/>
    <w:rsid w:val="00981F29"/>
    <w:rsid w:val="009833EE"/>
    <w:rsid w:val="00986A60"/>
    <w:rsid w:val="00993264"/>
    <w:rsid w:val="009936DD"/>
    <w:rsid w:val="009A09BB"/>
    <w:rsid w:val="009A25BD"/>
    <w:rsid w:val="009A2E62"/>
    <w:rsid w:val="009A3E60"/>
    <w:rsid w:val="009A4D06"/>
    <w:rsid w:val="009A52D1"/>
    <w:rsid w:val="009A5714"/>
    <w:rsid w:val="009A5F48"/>
    <w:rsid w:val="009A7463"/>
    <w:rsid w:val="009B5876"/>
    <w:rsid w:val="009B7E76"/>
    <w:rsid w:val="009C2214"/>
    <w:rsid w:val="009C3388"/>
    <w:rsid w:val="009C3BE1"/>
    <w:rsid w:val="009C614B"/>
    <w:rsid w:val="009C6F20"/>
    <w:rsid w:val="009C72B0"/>
    <w:rsid w:val="009D2F87"/>
    <w:rsid w:val="009D53A5"/>
    <w:rsid w:val="009D71C3"/>
    <w:rsid w:val="009D729F"/>
    <w:rsid w:val="009E35E8"/>
    <w:rsid w:val="009E4B9C"/>
    <w:rsid w:val="009E7AF7"/>
    <w:rsid w:val="009F19EE"/>
    <w:rsid w:val="00A02EF0"/>
    <w:rsid w:val="00A1290D"/>
    <w:rsid w:val="00A13FDB"/>
    <w:rsid w:val="00A14492"/>
    <w:rsid w:val="00A15402"/>
    <w:rsid w:val="00A20B4A"/>
    <w:rsid w:val="00A21C68"/>
    <w:rsid w:val="00A2387A"/>
    <w:rsid w:val="00A263BF"/>
    <w:rsid w:val="00A34071"/>
    <w:rsid w:val="00A36728"/>
    <w:rsid w:val="00A424CB"/>
    <w:rsid w:val="00A44D76"/>
    <w:rsid w:val="00A45580"/>
    <w:rsid w:val="00A45C4C"/>
    <w:rsid w:val="00A4677D"/>
    <w:rsid w:val="00A46A47"/>
    <w:rsid w:val="00A47B19"/>
    <w:rsid w:val="00A52C97"/>
    <w:rsid w:val="00A5347B"/>
    <w:rsid w:val="00A558B9"/>
    <w:rsid w:val="00A644B6"/>
    <w:rsid w:val="00A64A96"/>
    <w:rsid w:val="00A725CE"/>
    <w:rsid w:val="00A73F57"/>
    <w:rsid w:val="00A76BA7"/>
    <w:rsid w:val="00A811A1"/>
    <w:rsid w:val="00A819BB"/>
    <w:rsid w:val="00A86B38"/>
    <w:rsid w:val="00A93175"/>
    <w:rsid w:val="00A95C55"/>
    <w:rsid w:val="00AA5E00"/>
    <w:rsid w:val="00AA6EE5"/>
    <w:rsid w:val="00AB1EA1"/>
    <w:rsid w:val="00AB6440"/>
    <w:rsid w:val="00AB7B38"/>
    <w:rsid w:val="00AC3306"/>
    <w:rsid w:val="00AC33D2"/>
    <w:rsid w:val="00AC345C"/>
    <w:rsid w:val="00AC4064"/>
    <w:rsid w:val="00AC5273"/>
    <w:rsid w:val="00AC5FAC"/>
    <w:rsid w:val="00AD433F"/>
    <w:rsid w:val="00AD7197"/>
    <w:rsid w:val="00AD74AC"/>
    <w:rsid w:val="00AE5117"/>
    <w:rsid w:val="00AE54C4"/>
    <w:rsid w:val="00AE619D"/>
    <w:rsid w:val="00AF077A"/>
    <w:rsid w:val="00AF0F5C"/>
    <w:rsid w:val="00AF2145"/>
    <w:rsid w:val="00AF3117"/>
    <w:rsid w:val="00AF475F"/>
    <w:rsid w:val="00AF5A15"/>
    <w:rsid w:val="00AF7AEA"/>
    <w:rsid w:val="00B0181F"/>
    <w:rsid w:val="00B03261"/>
    <w:rsid w:val="00B06151"/>
    <w:rsid w:val="00B06A32"/>
    <w:rsid w:val="00B14A5D"/>
    <w:rsid w:val="00B16FC7"/>
    <w:rsid w:val="00B17760"/>
    <w:rsid w:val="00B25F58"/>
    <w:rsid w:val="00B339DC"/>
    <w:rsid w:val="00B35B95"/>
    <w:rsid w:val="00B42D64"/>
    <w:rsid w:val="00B42F67"/>
    <w:rsid w:val="00B43EF4"/>
    <w:rsid w:val="00B44140"/>
    <w:rsid w:val="00B4588B"/>
    <w:rsid w:val="00B50A7D"/>
    <w:rsid w:val="00B518AB"/>
    <w:rsid w:val="00B519D8"/>
    <w:rsid w:val="00B55707"/>
    <w:rsid w:val="00B561AA"/>
    <w:rsid w:val="00B60435"/>
    <w:rsid w:val="00B6727A"/>
    <w:rsid w:val="00B67AE1"/>
    <w:rsid w:val="00B67E3C"/>
    <w:rsid w:val="00B734CD"/>
    <w:rsid w:val="00B83481"/>
    <w:rsid w:val="00B853B4"/>
    <w:rsid w:val="00B87BDE"/>
    <w:rsid w:val="00B921B0"/>
    <w:rsid w:val="00B92EB8"/>
    <w:rsid w:val="00B933E7"/>
    <w:rsid w:val="00BA152F"/>
    <w:rsid w:val="00BA17B1"/>
    <w:rsid w:val="00BA47F5"/>
    <w:rsid w:val="00BA63CD"/>
    <w:rsid w:val="00BA66BF"/>
    <w:rsid w:val="00BA7231"/>
    <w:rsid w:val="00BB1057"/>
    <w:rsid w:val="00BB7305"/>
    <w:rsid w:val="00BC0A6D"/>
    <w:rsid w:val="00BC1737"/>
    <w:rsid w:val="00BC3EC0"/>
    <w:rsid w:val="00BD4CA5"/>
    <w:rsid w:val="00BE0BF4"/>
    <w:rsid w:val="00BE168E"/>
    <w:rsid w:val="00BE3856"/>
    <w:rsid w:val="00BE4BB6"/>
    <w:rsid w:val="00BE4FC7"/>
    <w:rsid w:val="00BE5D00"/>
    <w:rsid w:val="00BE6357"/>
    <w:rsid w:val="00BE7490"/>
    <w:rsid w:val="00BE7B9B"/>
    <w:rsid w:val="00BF0246"/>
    <w:rsid w:val="00C03134"/>
    <w:rsid w:val="00C067B1"/>
    <w:rsid w:val="00C1370B"/>
    <w:rsid w:val="00C16D94"/>
    <w:rsid w:val="00C1718B"/>
    <w:rsid w:val="00C174FF"/>
    <w:rsid w:val="00C24803"/>
    <w:rsid w:val="00C2672F"/>
    <w:rsid w:val="00C267BD"/>
    <w:rsid w:val="00C361BA"/>
    <w:rsid w:val="00C4212A"/>
    <w:rsid w:val="00C447E9"/>
    <w:rsid w:val="00C50AC2"/>
    <w:rsid w:val="00C51147"/>
    <w:rsid w:val="00C56676"/>
    <w:rsid w:val="00C6120B"/>
    <w:rsid w:val="00C624BA"/>
    <w:rsid w:val="00C7035B"/>
    <w:rsid w:val="00C7250A"/>
    <w:rsid w:val="00C728CC"/>
    <w:rsid w:val="00C7413E"/>
    <w:rsid w:val="00C76BD6"/>
    <w:rsid w:val="00C76E83"/>
    <w:rsid w:val="00C77514"/>
    <w:rsid w:val="00C80231"/>
    <w:rsid w:val="00C8079C"/>
    <w:rsid w:val="00C83108"/>
    <w:rsid w:val="00C865DA"/>
    <w:rsid w:val="00C86C65"/>
    <w:rsid w:val="00C87154"/>
    <w:rsid w:val="00C8723C"/>
    <w:rsid w:val="00C87486"/>
    <w:rsid w:val="00C877EE"/>
    <w:rsid w:val="00C90455"/>
    <w:rsid w:val="00C92DEA"/>
    <w:rsid w:val="00C9325A"/>
    <w:rsid w:val="00C96474"/>
    <w:rsid w:val="00CA2A40"/>
    <w:rsid w:val="00CA3901"/>
    <w:rsid w:val="00CA4A92"/>
    <w:rsid w:val="00CA50CD"/>
    <w:rsid w:val="00CA52C0"/>
    <w:rsid w:val="00CA79E1"/>
    <w:rsid w:val="00CB5101"/>
    <w:rsid w:val="00CB72EB"/>
    <w:rsid w:val="00CC03AF"/>
    <w:rsid w:val="00CC04B4"/>
    <w:rsid w:val="00CC1F6A"/>
    <w:rsid w:val="00CC402A"/>
    <w:rsid w:val="00CC4F2C"/>
    <w:rsid w:val="00CD23B5"/>
    <w:rsid w:val="00CD2CB1"/>
    <w:rsid w:val="00CD33CA"/>
    <w:rsid w:val="00CD37CA"/>
    <w:rsid w:val="00CD3EBC"/>
    <w:rsid w:val="00CD578B"/>
    <w:rsid w:val="00CD7C03"/>
    <w:rsid w:val="00CE2B39"/>
    <w:rsid w:val="00CE54D7"/>
    <w:rsid w:val="00CE6770"/>
    <w:rsid w:val="00CE721E"/>
    <w:rsid w:val="00CF1ED7"/>
    <w:rsid w:val="00CF587D"/>
    <w:rsid w:val="00D05158"/>
    <w:rsid w:val="00D1037B"/>
    <w:rsid w:val="00D109D6"/>
    <w:rsid w:val="00D11216"/>
    <w:rsid w:val="00D13094"/>
    <w:rsid w:val="00D13D8F"/>
    <w:rsid w:val="00D17062"/>
    <w:rsid w:val="00D20A31"/>
    <w:rsid w:val="00D2421D"/>
    <w:rsid w:val="00D32099"/>
    <w:rsid w:val="00D3369C"/>
    <w:rsid w:val="00D342AA"/>
    <w:rsid w:val="00D35B55"/>
    <w:rsid w:val="00D36298"/>
    <w:rsid w:val="00D374AE"/>
    <w:rsid w:val="00D37654"/>
    <w:rsid w:val="00D40303"/>
    <w:rsid w:val="00D40DFC"/>
    <w:rsid w:val="00D4362B"/>
    <w:rsid w:val="00D4391A"/>
    <w:rsid w:val="00D506AC"/>
    <w:rsid w:val="00D60117"/>
    <w:rsid w:val="00D602AF"/>
    <w:rsid w:val="00D60BC0"/>
    <w:rsid w:val="00D61C8C"/>
    <w:rsid w:val="00D62EF0"/>
    <w:rsid w:val="00D630AC"/>
    <w:rsid w:val="00D63847"/>
    <w:rsid w:val="00D716F8"/>
    <w:rsid w:val="00D82381"/>
    <w:rsid w:val="00D92E44"/>
    <w:rsid w:val="00D95A03"/>
    <w:rsid w:val="00D96816"/>
    <w:rsid w:val="00DA35E4"/>
    <w:rsid w:val="00DA4DCA"/>
    <w:rsid w:val="00DB67BD"/>
    <w:rsid w:val="00DC08A6"/>
    <w:rsid w:val="00DC09CB"/>
    <w:rsid w:val="00DC2FE5"/>
    <w:rsid w:val="00DD1C70"/>
    <w:rsid w:val="00DD3FBA"/>
    <w:rsid w:val="00DD5C43"/>
    <w:rsid w:val="00DE2EB1"/>
    <w:rsid w:val="00DE3D58"/>
    <w:rsid w:val="00DE4FAF"/>
    <w:rsid w:val="00DE5601"/>
    <w:rsid w:val="00DE69EC"/>
    <w:rsid w:val="00DE75D8"/>
    <w:rsid w:val="00DF01F7"/>
    <w:rsid w:val="00DF0FAE"/>
    <w:rsid w:val="00DF4F15"/>
    <w:rsid w:val="00DF5205"/>
    <w:rsid w:val="00DF6426"/>
    <w:rsid w:val="00DF707F"/>
    <w:rsid w:val="00E004A7"/>
    <w:rsid w:val="00E0129F"/>
    <w:rsid w:val="00E01455"/>
    <w:rsid w:val="00E01F79"/>
    <w:rsid w:val="00E11FE5"/>
    <w:rsid w:val="00E16164"/>
    <w:rsid w:val="00E175D8"/>
    <w:rsid w:val="00E21979"/>
    <w:rsid w:val="00E23B18"/>
    <w:rsid w:val="00E23BE8"/>
    <w:rsid w:val="00E25FC5"/>
    <w:rsid w:val="00E261B4"/>
    <w:rsid w:val="00E27A1E"/>
    <w:rsid w:val="00E33A8F"/>
    <w:rsid w:val="00E354B5"/>
    <w:rsid w:val="00E40C85"/>
    <w:rsid w:val="00E42080"/>
    <w:rsid w:val="00E427EF"/>
    <w:rsid w:val="00E4283A"/>
    <w:rsid w:val="00E42AAB"/>
    <w:rsid w:val="00E42BEC"/>
    <w:rsid w:val="00E508ED"/>
    <w:rsid w:val="00E511C3"/>
    <w:rsid w:val="00E56254"/>
    <w:rsid w:val="00E74759"/>
    <w:rsid w:val="00E74A8C"/>
    <w:rsid w:val="00E75196"/>
    <w:rsid w:val="00E762E4"/>
    <w:rsid w:val="00E800E4"/>
    <w:rsid w:val="00E812EF"/>
    <w:rsid w:val="00E81332"/>
    <w:rsid w:val="00E82CC6"/>
    <w:rsid w:val="00E87431"/>
    <w:rsid w:val="00E924FD"/>
    <w:rsid w:val="00E92C88"/>
    <w:rsid w:val="00E947F4"/>
    <w:rsid w:val="00E94D84"/>
    <w:rsid w:val="00E968DD"/>
    <w:rsid w:val="00EA2D62"/>
    <w:rsid w:val="00EA3791"/>
    <w:rsid w:val="00EB0160"/>
    <w:rsid w:val="00EB0ECB"/>
    <w:rsid w:val="00EB2CA5"/>
    <w:rsid w:val="00EB3884"/>
    <w:rsid w:val="00EB6BD9"/>
    <w:rsid w:val="00EB7155"/>
    <w:rsid w:val="00EC0311"/>
    <w:rsid w:val="00EC0E42"/>
    <w:rsid w:val="00EC3F79"/>
    <w:rsid w:val="00EC7BB5"/>
    <w:rsid w:val="00ED10AC"/>
    <w:rsid w:val="00ED2E0A"/>
    <w:rsid w:val="00ED2E85"/>
    <w:rsid w:val="00ED3C31"/>
    <w:rsid w:val="00ED6201"/>
    <w:rsid w:val="00EE3559"/>
    <w:rsid w:val="00EE4334"/>
    <w:rsid w:val="00EE6B44"/>
    <w:rsid w:val="00EE7641"/>
    <w:rsid w:val="00EE76B5"/>
    <w:rsid w:val="00EF2503"/>
    <w:rsid w:val="00EF6134"/>
    <w:rsid w:val="00EF74C2"/>
    <w:rsid w:val="00F00279"/>
    <w:rsid w:val="00F0080E"/>
    <w:rsid w:val="00F072D2"/>
    <w:rsid w:val="00F07738"/>
    <w:rsid w:val="00F13C59"/>
    <w:rsid w:val="00F13D2C"/>
    <w:rsid w:val="00F14666"/>
    <w:rsid w:val="00F155D7"/>
    <w:rsid w:val="00F156D5"/>
    <w:rsid w:val="00F160D8"/>
    <w:rsid w:val="00F170F2"/>
    <w:rsid w:val="00F228D9"/>
    <w:rsid w:val="00F22F81"/>
    <w:rsid w:val="00F2551A"/>
    <w:rsid w:val="00F263F6"/>
    <w:rsid w:val="00F27AD3"/>
    <w:rsid w:val="00F30899"/>
    <w:rsid w:val="00F34109"/>
    <w:rsid w:val="00F34894"/>
    <w:rsid w:val="00F405DB"/>
    <w:rsid w:val="00F42E28"/>
    <w:rsid w:val="00F46295"/>
    <w:rsid w:val="00F46722"/>
    <w:rsid w:val="00F51677"/>
    <w:rsid w:val="00F51834"/>
    <w:rsid w:val="00F53291"/>
    <w:rsid w:val="00F5546F"/>
    <w:rsid w:val="00F578E9"/>
    <w:rsid w:val="00F62A47"/>
    <w:rsid w:val="00F659FB"/>
    <w:rsid w:val="00F700C0"/>
    <w:rsid w:val="00F70EA3"/>
    <w:rsid w:val="00F7321C"/>
    <w:rsid w:val="00F7443E"/>
    <w:rsid w:val="00F75CAB"/>
    <w:rsid w:val="00F77430"/>
    <w:rsid w:val="00F8178B"/>
    <w:rsid w:val="00F83B9B"/>
    <w:rsid w:val="00F859E9"/>
    <w:rsid w:val="00F859F4"/>
    <w:rsid w:val="00F861C1"/>
    <w:rsid w:val="00F90F76"/>
    <w:rsid w:val="00F948EB"/>
    <w:rsid w:val="00F94BC8"/>
    <w:rsid w:val="00F94C90"/>
    <w:rsid w:val="00F96070"/>
    <w:rsid w:val="00F972DC"/>
    <w:rsid w:val="00FA10B7"/>
    <w:rsid w:val="00FA11D3"/>
    <w:rsid w:val="00FA1E35"/>
    <w:rsid w:val="00FA2524"/>
    <w:rsid w:val="00FA732C"/>
    <w:rsid w:val="00FB03C6"/>
    <w:rsid w:val="00FB4FDE"/>
    <w:rsid w:val="00FB6A82"/>
    <w:rsid w:val="00FC0E54"/>
    <w:rsid w:val="00FC1C56"/>
    <w:rsid w:val="00FC581D"/>
    <w:rsid w:val="00FC6A0C"/>
    <w:rsid w:val="00FD0269"/>
    <w:rsid w:val="00FD1E06"/>
    <w:rsid w:val="00FD1F6D"/>
    <w:rsid w:val="00FD2C77"/>
    <w:rsid w:val="00FD63AC"/>
    <w:rsid w:val="00FE00AD"/>
    <w:rsid w:val="00FE03E3"/>
    <w:rsid w:val="00FE1EA0"/>
    <w:rsid w:val="00FE39EA"/>
    <w:rsid w:val="00FE573A"/>
    <w:rsid w:val="00FE57E7"/>
    <w:rsid w:val="00FF06B4"/>
    <w:rsid w:val="00FF15AC"/>
    <w:rsid w:val="00FF29DD"/>
    <w:rsid w:val="00FF3AB8"/>
    <w:rsid w:val="00FF60CF"/>
    <w:rsid w:val="00FF695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2835ACD"/>
  <w15:docId w15:val="{FA0A6C0B-8450-8D48-BC19-F1531085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rsid w:val="00DB67BD"/>
    <w:pPr>
      <w:suppressAutoHyphens/>
      <w:spacing w:line="240" w:lineRule="exact"/>
    </w:pPr>
    <w:rPr>
      <w:vertAlign w:val="superscript"/>
      <w:lang w:val="en-US"/>
    </w:rPr>
  </w:style>
  <w:style w:type="character" w:styleId="PlaceholderText">
    <w:name w:val="Placeholder Text"/>
    <w:basedOn w:val="DefaultParagraphFont"/>
    <w:uiPriority w:val="99"/>
    <w:semiHidden/>
    <w:rsid w:val="007545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8259">
      <w:bodyDiv w:val="1"/>
      <w:marLeft w:val="0"/>
      <w:marRight w:val="0"/>
      <w:marTop w:val="0"/>
      <w:marBottom w:val="0"/>
      <w:divBdr>
        <w:top w:val="none" w:sz="0" w:space="0" w:color="auto"/>
        <w:left w:val="none" w:sz="0" w:space="0" w:color="auto"/>
        <w:bottom w:val="none" w:sz="0" w:space="0" w:color="auto"/>
        <w:right w:val="none" w:sz="0" w:space="0" w:color="auto"/>
      </w:divBdr>
    </w:div>
    <w:div w:id="110903689">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523009711">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C64A9800D0422085EDA2283C482DCF"/>
        <w:category>
          <w:name w:val="General"/>
          <w:gallery w:val="placeholder"/>
        </w:category>
        <w:types>
          <w:type w:val="bbPlcHdr"/>
        </w:types>
        <w:behaviors>
          <w:behavior w:val="content"/>
        </w:behaviors>
        <w:guid w:val="{54C42E5A-7593-4588-9399-7632FED47B3E}"/>
      </w:docPartPr>
      <w:docPartBody>
        <w:p w:rsidR="00DF7914" w:rsidRDefault="00EC30AA" w:rsidP="00EC30AA">
          <w:pPr>
            <w:pStyle w:val="F8C64A9800D0422085EDA2283C482DCF"/>
          </w:pPr>
          <w:r>
            <w:rPr>
              <w:rStyle w:val="PlaceholderText"/>
            </w:rPr>
            <w:t>[Author]</w:t>
          </w:r>
        </w:p>
      </w:docPartBody>
    </w:docPart>
    <w:docPart>
      <w:docPartPr>
        <w:name w:val="84CE931F8A71412FA6125F328FFFE8CA"/>
        <w:category>
          <w:name w:val="General"/>
          <w:gallery w:val="placeholder"/>
        </w:category>
        <w:types>
          <w:type w:val="bbPlcHdr"/>
        </w:types>
        <w:behaviors>
          <w:behavior w:val="content"/>
        </w:behaviors>
        <w:guid w:val="{89F39889-5695-4B0E-BCAC-6D188B2FAAF5}"/>
      </w:docPartPr>
      <w:docPartBody>
        <w:p w:rsidR="00A530FE" w:rsidRDefault="00EF768B" w:rsidP="00EF768B">
          <w:pPr>
            <w:pStyle w:val="84CE931F8A71412FA6125F328FFFE8C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EC30AA"/>
    <w:rsid w:val="00100501"/>
    <w:rsid w:val="0011710A"/>
    <w:rsid w:val="001B6360"/>
    <w:rsid w:val="00220BAC"/>
    <w:rsid w:val="00240A39"/>
    <w:rsid w:val="00380767"/>
    <w:rsid w:val="003C565D"/>
    <w:rsid w:val="004C41A1"/>
    <w:rsid w:val="004D7935"/>
    <w:rsid w:val="00517729"/>
    <w:rsid w:val="00521A6A"/>
    <w:rsid w:val="00546571"/>
    <w:rsid w:val="005F5A98"/>
    <w:rsid w:val="006569BF"/>
    <w:rsid w:val="006B49B5"/>
    <w:rsid w:val="007260C7"/>
    <w:rsid w:val="007E2DAF"/>
    <w:rsid w:val="00A530FE"/>
    <w:rsid w:val="00AA72C7"/>
    <w:rsid w:val="00AC4D65"/>
    <w:rsid w:val="00C0248F"/>
    <w:rsid w:val="00DF7914"/>
    <w:rsid w:val="00E7092D"/>
    <w:rsid w:val="00EB20BD"/>
    <w:rsid w:val="00EC30AA"/>
    <w:rsid w:val="00EF768B"/>
    <w:rsid w:val="00F028EA"/>
    <w:rsid w:val="00F876A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68B"/>
    <w:rPr>
      <w:color w:val="808080"/>
    </w:rPr>
  </w:style>
  <w:style w:type="paragraph" w:customStyle="1" w:styleId="F8C64A9800D0422085EDA2283C482DCF">
    <w:name w:val="F8C64A9800D0422085EDA2283C482DCF"/>
    <w:rsid w:val="00EC30AA"/>
  </w:style>
  <w:style w:type="paragraph" w:customStyle="1" w:styleId="84CE931F8A71412FA6125F328FFFE8CA">
    <w:name w:val="84CE931F8A71412FA6125F328FFFE8CA"/>
    <w:rsid w:val="00EF7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91CB-2312-480F-A1A4-9A5DAA56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1504</Words>
  <Characters>8573</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EXECUTION OF THE GENERAL GOVERNMENT BUDGET | 31 MAY 2020</dc:creator>
  <cp:lastModifiedBy>ILEANA-MADALINA DOGARU</cp:lastModifiedBy>
  <cp:revision>5</cp:revision>
  <cp:lastPrinted>2020-04-27T14:12:00Z</cp:lastPrinted>
  <dcterms:created xsi:type="dcterms:W3CDTF">2020-07-06T06:56:00Z</dcterms:created>
  <dcterms:modified xsi:type="dcterms:W3CDTF">2020-07-06T07:26:00Z</dcterms:modified>
</cp:coreProperties>
</file>